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E9959" w14:textId="77777777" w:rsidR="001B5BB5" w:rsidRDefault="001B5BB5" w:rsidP="001B5BB5">
      <w:pPr>
        <w:rPr>
          <w:b/>
        </w:rPr>
      </w:pPr>
    </w:p>
    <w:p w14:paraId="0BBDE8E9" w14:textId="77777777" w:rsidR="001B5BB5" w:rsidRDefault="001B5BB5" w:rsidP="001B5BB5">
      <w:pPr>
        <w:rPr>
          <w:b/>
        </w:rPr>
      </w:pPr>
    </w:p>
    <w:p w14:paraId="0F9CEF1D" w14:textId="77777777" w:rsidR="001B5BB5" w:rsidRDefault="001B5BB5" w:rsidP="001B5BB5">
      <w:pPr>
        <w:rPr>
          <w:b/>
        </w:rPr>
      </w:pPr>
    </w:p>
    <w:p w14:paraId="128DF56B" w14:textId="17506D0F" w:rsidR="00591DB1" w:rsidRDefault="004662B0" w:rsidP="004662B0">
      <w:pPr>
        <w:jc w:val="center"/>
        <w:rPr>
          <w:b/>
          <w:sz w:val="40"/>
          <w:szCs w:val="40"/>
        </w:rPr>
      </w:pPr>
      <w:r w:rsidRPr="00845BAA">
        <w:rPr>
          <w:b/>
          <w:sz w:val="40"/>
          <w:szCs w:val="40"/>
        </w:rPr>
        <w:t xml:space="preserve">MSU Departmental </w:t>
      </w:r>
    </w:p>
    <w:p w14:paraId="6B0CC117" w14:textId="4C92E467" w:rsidR="004662B0" w:rsidRDefault="004662B0" w:rsidP="004662B0">
      <w:pPr>
        <w:jc w:val="center"/>
        <w:rPr>
          <w:b/>
          <w:sz w:val="40"/>
          <w:szCs w:val="40"/>
        </w:rPr>
      </w:pPr>
      <w:r w:rsidRPr="00845BAA">
        <w:rPr>
          <w:b/>
          <w:sz w:val="40"/>
          <w:szCs w:val="40"/>
        </w:rPr>
        <w:t xml:space="preserve">Assessment </w:t>
      </w:r>
      <w:r w:rsidR="00591DB1">
        <w:rPr>
          <w:b/>
          <w:sz w:val="40"/>
          <w:szCs w:val="40"/>
        </w:rPr>
        <w:t xml:space="preserve">Report, </w:t>
      </w:r>
      <w:r w:rsidR="00603323">
        <w:rPr>
          <w:b/>
          <w:sz w:val="40"/>
          <w:szCs w:val="40"/>
        </w:rPr>
        <w:t>May 2014</w:t>
      </w:r>
    </w:p>
    <w:p w14:paraId="63588A89" w14:textId="77777777" w:rsidR="004662B0" w:rsidRDefault="004662B0" w:rsidP="004662B0">
      <w:pPr>
        <w:jc w:val="center"/>
        <w:rPr>
          <w:b/>
          <w:sz w:val="40"/>
          <w:szCs w:val="40"/>
        </w:rPr>
      </w:pPr>
    </w:p>
    <w:p w14:paraId="429D207A" w14:textId="014AF535" w:rsidR="004662B0" w:rsidRDefault="004662B0" w:rsidP="004662B0">
      <w:pPr>
        <w:rPr>
          <w:sz w:val="32"/>
          <w:szCs w:val="32"/>
        </w:rPr>
      </w:pPr>
      <w:r>
        <w:rPr>
          <w:sz w:val="32"/>
          <w:szCs w:val="32"/>
        </w:rPr>
        <w:t>Department:  Psychology</w:t>
      </w:r>
    </w:p>
    <w:p w14:paraId="42ABADB9" w14:textId="18B019F8" w:rsidR="004662B0" w:rsidRDefault="004662B0" w:rsidP="004662B0">
      <w:pPr>
        <w:rPr>
          <w:sz w:val="32"/>
          <w:szCs w:val="32"/>
        </w:rPr>
      </w:pPr>
      <w:r>
        <w:rPr>
          <w:sz w:val="32"/>
          <w:szCs w:val="32"/>
        </w:rPr>
        <w:t>Department Chair:  Colleen F. Moore</w:t>
      </w:r>
    </w:p>
    <w:p w14:paraId="4F345DA9" w14:textId="3D51C052" w:rsidR="004662B0" w:rsidRDefault="004662B0" w:rsidP="004662B0">
      <w:pPr>
        <w:rPr>
          <w:sz w:val="32"/>
          <w:szCs w:val="32"/>
        </w:rPr>
      </w:pPr>
      <w:r>
        <w:rPr>
          <w:sz w:val="32"/>
          <w:szCs w:val="32"/>
        </w:rPr>
        <w:t>Assessment Coordinators:  Department tenure track faculty members as a ‘committee of the whole’</w:t>
      </w:r>
      <w:r w:rsidR="001708E8">
        <w:rPr>
          <w:sz w:val="32"/>
          <w:szCs w:val="32"/>
        </w:rPr>
        <w:t>, plus participation by some adjunct faculty</w:t>
      </w:r>
      <w:r w:rsidR="00D93ED1">
        <w:rPr>
          <w:sz w:val="32"/>
          <w:szCs w:val="32"/>
        </w:rPr>
        <w:t xml:space="preserve"> (Heiser, Numbers</w:t>
      </w:r>
      <w:r w:rsidR="00587D5A">
        <w:rPr>
          <w:sz w:val="32"/>
          <w:szCs w:val="32"/>
        </w:rPr>
        <w:t>, Manley</w:t>
      </w:r>
      <w:r w:rsidR="00D93ED1">
        <w:rPr>
          <w:sz w:val="32"/>
          <w:szCs w:val="32"/>
        </w:rPr>
        <w:t>)</w:t>
      </w:r>
    </w:p>
    <w:p w14:paraId="26F9F2DD" w14:textId="77777777" w:rsidR="004662B0" w:rsidRDefault="004662B0" w:rsidP="004662B0">
      <w:pPr>
        <w:rPr>
          <w:sz w:val="32"/>
          <w:szCs w:val="32"/>
        </w:rPr>
      </w:pPr>
    </w:p>
    <w:p w14:paraId="5DE6D349" w14:textId="77777777" w:rsidR="004662B0" w:rsidRPr="00845BAA" w:rsidRDefault="004662B0" w:rsidP="004662B0">
      <w:pPr>
        <w:rPr>
          <w:sz w:val="32"/>
          <w:szCs w:val="32"/>
          <w:u w:val="single"/>
        </w:rPr>
      </w:pPr>
      <w:r w:rsidRPr="00845BAA">
        <w:rPr>
          <w:sz w:val="32"/>
          <w:szCs w:val="32"/>
          <w:u w:val="single"/>
        </w:rPr>
        <w:t>Degrees/Majors/Options Offered by Department</w:t>
      </w:r>
    </w:p>
    <w:p w14:paraId="7B4490E6" w14:textId="77777777" w:rsidR="004662B0" w:rsidRDefault="004662B0" w:rsidP="004662B0">
      <w:pPr>
        <w:pStyle w:val="Title"/>
        <w:rPr>
          <w:sz w:val="28"/>
        </w:rPr>
      </w:pPr>
    </w:p>
    <w:p w14:paraId="5FB29E27" w14:textId="33ADA069" w:rsidR="004662B0" w:rsidRDefault="004662B0" w:rsidP="004662B0">
      <w:pPr>
        <w:pStyle w:val="Title"/>
        <w:jc w:val="left"/>
        <w:rPr>
          <w:b w:val="0"/>
          <w:sz w:val="32"/>
          <w:szCs w:val="32"/>
        </w:rPr>
      </w:pPr>
      <w:r>
        <w:rPr>
          <w:b w:val="0"/>
          <w:sz w:val="28"/>
        </w:rPr>
        <w:tab/>
      </w:r>
      <w:r w:rsidRPr="00BF0DF6">
        <w:rPr>
          <w:b w:val="0"/>
          <w:sz w:val="32"/>
          <w:szCs w:val="32"/>
        </w:rPr>
        <w:t xml:space="preserve">B.S. in Psychology </w:t>
      </w:r>
      <w:r>
        <w:rPr>
          <w:b w:val="0"/>
          <w:sz w:val="32"/>
          <w:szCs w:val="32"/>
        </w:rPr>
        <w:t>(</w:t>
      </w:r>
      <w:r w:rsidRPr="00BF0DF6">
        <w:rPr>
          <w:b w:val="0"/>
          <w:sz w:val="32"/>
          <w:szCs w:val="32"/>
        </w:rPr>
        <w:t>with options in Psychological Science and Applied Psychology</w:t>
      </w:r>
      <w:r>
        <w:rPr>
          <w:b w:val="0"/>
          <w:sz w:val="32"/>
          <w:szCs w:val="32"/>
        </w:rPr>
        <w:t>)</w:t>
      </w:r>
    </w:p>
    <w:p w14:paraId="626A17A1" w14:textId="77777777" w:rsidR="004662B0" w:rsidRDefault="004662B0" w:rsidP="004662B0">
      <w:pPr>
        <w:pStyle w:val="Title"/>
        <w:jc w:val="left"/>
        <w:rPr>
          <w:b w:val="0"/>
          <w:sz w:val="32"/>
          <w:szCs w:val="32"/>
        </w:rPr>
      </w:pPr>
      <w:r>
        <w:rPr>
          <w:b w:val="0"/>
          <w:sz w:val="32"/>
          <w:szCs w:val="32"/>
        </w:rPr>
        <w:tab/>
        <w:t xml:space="preserve">M.S. in Psychological </w:t>
      </w:r>
      <w:r w:rsidRPr="006072AF">
        <w:rPr>
          <w:b w:val="0"/>
          <w:sz w:val="32"/>
          <w:szCs w:val="32"/>
        </w:rPr>
        <w:t>Science (not addressed in this document)</w:t>
      </w:r>
    </w:p>
    <w:p w14:paraId="1B19770C" w14:textId="77777777" w:rsidR="004662B0" w:rsidRDefault="004662B0" w:rsidP="004662B0">
      <w:pPr>
        <w:pStyle w:val="Title"/>
        <w:jc w:val="left"/>
        <w:rPr>
          <w:b w:val="0"/>
          <w:sz w:val="32"/>
          <w:szCs w:val="32"/>
        </w:rPr>
      </w:pPr>
    </w:p>
    <w:p w14:paraId="3AF8CEFE" w14:textId="77777777" w:rsidR="004662B0" w:rsidRDefault="004662B0" w:rsidP="004662B0">
      <w:pPr>
        <w:pStyle w:val="Title"/>
        <w:jc w:val="left"/>
        <w:rPr>
          <w:b w:val="0"/>
          <w:sz w:val="32"/>
          <w:szCs w:val="32"/>
        </w:rPr>
      </w:pPr>
      <w:r>
        <w:rPr>
          <w:b w:val="0"/>
          <w:sz w:val="32"/>
          <w:szCs w:val="32"/>
        </w:rPr>
        <w:t xml:space="preserve">Contents: </w:t>
      </w:r>
    </w:p>
    <w:p w14:paraId="3A4C856B" w14:textId="7756D3FB" w:rsidR="005E0771" w:rsidRDefault="008348EA" w:rsidP="004662B0">
      <w:pPr>
        <w:pStyle w:val="Title"/>
        <w:jc w:val="left"/>
        <w:rPr>
          <w:b w:val="0"/>
          <w:sz w:val="32"/>
          <w:szCs w:val="32"/>
        </w:rPr>
      </w:pPr>
      <w:r>
        <w:rPr>
          <w:b w:val="0"/>
          <w:sz w:val="32"/>
          <w:szCs w:val="32"/>
        </w:rPr>
        <w:tab/>
      </w:r>
      <w:r w:rsidR="008C12C6">
        <w:rPr>
          <w:b w:val="0"/>
          <w:sz w:val="32"/>
          <w:szCs w:val="32"/>
        </w:rPr>
        <w:t xml:space="preserve">Section 1. </w:t>
      </w:r>
      <w:r w:rsidR="005E0771">
        <w:rPr>
          <w:b w:val="0"/>
          <w:sz w:val="32"/>
          <w:szCs w:val="32"/>
        </w:rPr>
        <w:t>Undergraduate ass</w:t>
      </w:r>
      <w:r w:rsidR="00741947">
        <w:rPr>
          <w:b w:val="0"/>
          <w:sz w:val="32"/>
          <w:szCs w:val="32"/>
        </w:rPr>
        <w:t xml:space="preserve">essment </w:t>
      </w:r>
      <w:r w:rsidR="00600FF9">
        <w:rPr>
          <w:b w:val="0"/>
          <w:sz w:val="32"/>
          <w:szCs w:val="32"/>
        </w:rPr>
        <w:tab/>
      </w:r>
      <w:r w:rsidR="00600FF9">
        <w:rPr>
          <w:b w:val="0"/>
          <w:sz w:val="32"/>
          <w:szCs w:val="32"/>
        </w:rPr>
        <w:tab/>
      </w:r>
      <w:r w:rsidR="00600FF9">
        <w:rPr>
          <w:b w:val="0"/>
          <w:sz w:val="32"/>
          <w:szCs w:val="32"/>
        </w:rPr>
        <w:tab/>
      </w:r>
      <w:r w:rsidR="00600FF9">
        <w:rPr>
          <w:b w:val="0"/>
          <w:sz w:val="32"/>
          <w:szCs w:val="32"/>
        </w:rPr>
        <w:tab/>
      </w:r>
      <w:r w:rsidR="00600FF9">
        <w:rPr>
          <w:b w:val="0"/>
          <w:sz w:val="32"/>
          <w:szCs w:val="32"/>
        </w:rPr>
        <w:tab/>
      </w:r>
      <w:r w:rsidR="00600FF9">
        <w:rPr>
          <w:b w:val="0"/>
          <w:sz w:val="32"/>
          <w:szCs w:val="32"/>
        </w:rPr>
        <w:tab/>
      </w:r>
      <w:r w:rsidR="00600FF9">
        <w:rPr>
          <w:b w:val="0"/>
          <w:sz w:val="32"/>
          <w:szCs w:val="32"/>
        </w:rPr>
        <w:tab/>
      </w:r>
      <w:r w:rsidR="00600FF9">
        <w:rPr>
          <w:b w:val="0"/>
          <w:sz w:val="32"/>
          <w:szCs w:val="32"/>
        </w:rPr>
        <w:tab/>
      </w:r>
      <w:r w:rsidR="00600FF9">
        <w:rPr>
          <w:b w:val="0"/>
          <w:sz w:val="32"/>
          <w:szCs w:val="32"/>
        </w:rPr>
        <w:tab/>
      </w:r>
      <w:r w:rsidR="00600FF9">
        <w:rPr>
          <w:b w:val="0"/>
          <w:sz w:val="32"/>
          <w:szCs w:val="32"/>
        </w:rPr>
        <w:tab/>
        <w:t>pp. 3 - 24</w:t>
      </w:r>
    </w:p>
    <w:p w14:paraId="7629B29F" w14:textId="78C61F17" w:rsidR="004662B0" w:rsidRDefault="004662B0" w:rsidP="004662B0">
      <w:pPr>
        <w:pStyle w:val="Title"/>
        <w:jc w:val="left"/>
        <w:rPr>
          <w:b w:val="0"/>
          <w:sz w:val="32"/>
          <w:szCs w:val="32"/>
        </w:rPr>
      </w:pPr>
      <w:r>
        <w:rPr>
          <w:b w:val="0"/>
          <w:sz w:val="32"/>
          <w:szCs w:val="32"/>
        </w:rPr>
        <w:tab/>
      </w:r>
      <w:r w:rsidR="00741947">
        <w:rPr>
          <w:b w:val="0"/>
          <w:sz w:val="32"/>
          <w:szCs w:val="32"/>
        </w:rPr>
        <w:tab/>
      </w:r>
      <w:r w:rsidR="001852D1">
        <w:rPr>
          <w:b w:val="0"/>
          <w:sz w:val="32"/>
          <w:szCs w:val="32"/>
        </w:rPr>
        <w:t>Rubrics used</w:t>
      </w:r>
      <w:r w:rsidR="00BA5A5C">
        <w:rPr>
          <w:b w:val="0"/>
          <w:sz w:val="32"/>
          <w:szCs w:val="32"/>
        </w:rPr>
        <w:t xml:space="preserve"> </w:t>
      </w:r>
      <w:r w:rsidR="001852D1">
        <w:rPr>
          <w:b w:val="0"/>
          <w:sz w:val="32"/>
          <w:szCs w:val="32"/>
        </w:rPr>
        <w:tab/>
      </w:r>
      <w:r w:rsidR="001852D1">
        <w:rPr>
          <w:b w:val="0"/>
          <w:sz w:val="32"/>
          <w:szCs w:val="32"/>
        </w:rPr>
        <w:tab/>
      </w:r>
      <w:r w:rsidR="001852D1">
        <w:rPr>
          <w:b w:val="0"/>
          <w:sz w:val="32"/>
          <w:szCs w:val="32"/>
        </w:rPr>
        <w:tab/>
      </w:r>
      <w:r w:rsidR="001852D1">
        <w:rPr>
          <w:b w:val="0"/>
          <w:sz w:val="32"/>
          <w:szCs w:val="32"/>
        </w:rPr>
        <w:tab/>
      </w:r>
      <w:r w:rsidR="001852D1">
        <w:rPr>
          <w:b w:val="0"/>
          <w:sz w:val="32"/>
          <w:szCs w:val="32"/>
        </w:rPr>
        <w:tab/>
      </w:r>
      <w:r w:rsidR="001852D1">
        <w:rPr>
          <w:b w:val="0"/>
          <w:sz w:val="32"/>
          <w:szCs w:val="32"/>
        </w:rPr>
        <w:tab/>
      </w:r>
      <w:r w:rsidR="001852D1">
        <w:rPr>
          <w:b w:val="0"/>
          <w:sz w:val="32"/>
          <w:szCs w:val="32"/>
        </w:rPr>
        <w:tab/>
      </w:r>
      <w:r w:rsidR="001852D1">
        <w:rPr>
          <w:b w:val="0"/>
          <w:sz w:val="32"/>
          <w:szCs w:val="32"/>
        </w:rPr>
        <w:tab/>
      </w:r>
      <w:r w:rsidR="001852D1">
        <w:rPr>
          <w:b w:val="0"/>
          <w:sz w:val="32"/>
          <w:szCs w:val="32"/>
        </w:rPr>
        <w:tab/>
      </w:r>
      <w:r w:rsidR="001852D1">
        <w:rPr>
          <w:b w:val="0"/>
          <w:sz w:val="32"/>
          <w:szCs w:val="32"/>
        </w:rPr>
        <w:tab/>
      </w:r>
      <w:r w:rsidR="001852D1">
        <w:rPr>
          <w:b w:val="0"/>
          <w:sz w:val="32"/>
          <w:szCs w:val="32"/>
        </w:rPr>
        <w:tab/>
      </w:r>
      <w:r w:rsidR="001852D1">
        <w:rPr>
          <w:b w:val="0"/>
          <w:sz w:val="32"/>
          <w:szCs w:val="32"/>
        </w:rPr>
        <w:tab/>
      </w:r>
      <w:r w:rsidR="001852D1">
        <w:rPr>
          <w:b w:val="0"/>
          <w:sz w:val="32"/>
          <w:szCs w:val="32"/>
        </w:rPr>
        <w:tab/>
      </w:r>
      <w:r w:rsidR="001852D1">
        <w:rPr>
          <w:b w:val="0"/>
          <w:sz w:val="32"/>
          <w:szCs w:val="32"/>
        </w:rPr>
        <w:tab/>
      </w:r>
      <w:bookmarkStart w:id="0" w:name="_GoBack"/>
      <w:bookmarkEnd w:id="0"/>
      <w:r w:rsidR="00BA5A5C">
        <w:rPr>
          <w:b w:val="0"/>
          <w:sz w:val="32"/>
          <w:szCs w:val="32"/>
        </w:rPr>
        <w:t>pp. 3</w:t>
      </w:r>
      <w:r>
        <w:rPr>
          <w:b w:val="0"/>
          <w:sz w:val="32"/>
          <w:szCs w:val="32"/>
        </w:rPr>
        <w:t>-</w:t>
      </w:r>
      <w:r w:rsidR="00BA5A5C">
        <w:rPr>
          <w:b w:val="0"/>
          <w:sz w:val="32"/>
          <w:szCs w:val="32"/>
        </w:rPr>
        <w:t>10</w:t>
      </w:r>
    </w:p>
    <w:p w14:paraId="38B6817D" w14:textId="603C643E" w:rsidR="004662B0" w:rsidRDefault="00371203" w:rsidP="004662B0">
      <w:pPr>
        <w:pStyle w:val="Title"/>
        <w:jc w:val="left"/>
        <w:rPr>
          <w:b w:val="0"/>
          <w:sz w:val="32"/>
          <w:szCs w:val="32"/>
        </w:rPr>
      </w:pPr>
      <w:r>
        <w:rPr>
          <w:b w:val="0"/>
          <w:sz w:val="32"/>
          <w:szCs w:val="32"/>
        </w:rPr>
        <w:tab/>
      </w:r>
      <w:r w:rsidR="00741947">
        <w:rPr>
          <w:b w:val="0"/>
          <w:sz w:val="32"/>
          <w:szCs w:val="32"/>
        </w:rPr>
        <w:tab/>
      </w:r>
      <w:r w:rsidR="00BA5A5C">
        <w:rPr>
          <w:b w:val="0"/>
          <w:sz w:val="32"/>
          <w:szCs w:val="32"/>
        </w:rPr>
        <w:t xml:space="preserve">Undergraduate </w:t>
      </w:r>
      <w:r>
        <w:rPr>
          <w:b w:val="0"/>
          <w:sz w:val="32"/>
          <w:szCs w:val="32"/>
        </w:rPr>
        <w:t>Assessment Results</w:t>
      </w:r>
      <w:r w:rsidR="00741947">
        <w:rPr>
          <w:b w:val="0"/>
          <w:sz w:val="32"/>
          <w:szCs w:val="32"/>
        </w:rPr>
        <w:t>, May 2014</w:t>
      </w:r>
      <w:r w:rsidR="00471FDD">
        <w:rPr>
          <w:b w:val="0"/>
          <w:sz w:val="32"/>
          <w:szCs w:val="32"/>
        </w:rPr>
        <w:t xml:space="preserve">, </w:t>
      </w:r>
      <w:r w:rsidR="00BB4B71">
        <w:rPr>
          <w:b w:val="0"/>
          <w:sz w:val="32"/>
          <w:szCs w:val="32"/>
        </w:rPr>
        <w:tab/>
      </w:r>
      <w:r w:rsidR="00BB4B71">
        <w:rPr>
          <w:b w:val="0"/>
          <w:sz w:val="32"/>
          <w:szCs w:val="32"/>
        </w:rPr>
        <w:tab/>
      </w:r>
      <w:r w:rsidR="00BB4B71">
        <w:rPr>
          <w:b w:val="0"/>
          <w:sz w:val="32"/>
          <w:szCs w:val="32"/>
        </w:rPr>
        <w:tab/>
      </w:r>
      <w:r w:rsidR="00BE2012">
        <w:rPr>
          <w:b w:val="0"/>
          <w:sz w:val="32"/>
          <w:szCs w:val="32"/>
        </w:rPr>
        <w:tab/>
      </w:r>
      <w:r w:rsidR="00FE6986">
        <w:rPr>
          <w:b w:val="0"/>
          <w:sz w:val="32"/>
          <w:szCs w:val="32"/>
        </w:rPr>
        <w:tab/>
      </w:r>
      <w:r w:rsidR="00FE6986">
        <w:rPr>
          <w:b w:val="0"/>
          <w:sz w:val="32"/>
          <w:szCs w:val="32"/>
        </w:rPr>
        <w:tab/>
      </w:r>
      <w:r w:rsidR="00FE6986">
        <w:rPr>
          <w:b w:val="0"/>
          <w:sz w:val="32"/>
          <w:szCs w:val="32"/>
        </w:rPr>
        <w:tab/>
      </w:r>
      <w:r w:rsidR="00BA5A5C">
        <w:rPr>
          <w:b w:val="0"/>
          <w:sz w:val="32"/>
          <w:szCs w:val="32"/>
        </w:rPr>
        <w:t>pp. 11</w:t>
      </w:r>
      <w:r w:rsidR="004662B0">
        <w:rPr>
          <w:b w:val="0"/>
          <w:sz w:val="32"/>
          <w:szCs w:val="32"/>
        </w:rPr>
        <w:t>-</w:t>
      </w:r>
      <w:r w:rsidR="00FE6986">
        <w:rPr>
          <w:b w:val="0"/>
          <w:sz w:val="32"/>
          <w:szCs w:val="32"/>
        </w:rPr>
        <w:t>24</w:t>
      </w:r>
    </w:p>
    <w:p w14:paraId="728102E0" w14:textId="064BE7FF" w:rsidR="008348EA" w:rsidRDefault="008348EA" w:rsidP="00FD3063">
      <w:pPr>
        <w:pStyle w:val="Title"/>
        <w:numPr>
          <w:ilvl w:val="0"/>
          <w:numId w:val="34"/>
        </w:numPr>
        <w:jc w:val="left"/>
        <w:rPr>
          <w:b w:val="0"/>
          <w:sz w:val="32"/>
          <w:szCs w:val="32"/>
        </w:rPr>
      </w:pPr>
      <w:r>
        <w:rPr>
          <w:b w:val="0"/>
          <w:sz w:val="32"/>
          <w:szCs w:val="32"/>
        </w:rPr>
        <w:t>Senior thesis</w:t>
      </w:r>
      <w:r w:rsidR="00CF1EA8">
        <w:rPr>
          <w:b w:val="0"/>
          <w:sz w:val="32"/>
          <w:szCs w:val="32"/>
        </w:rPr>
        <w:t xml:space="preserve">, capstone, satisfaction with major, </w:t>
      </w:r>
      <w:r w:rsidR="00C243CB">
        <w:rPr>
          <w:b w:val="0"/>
          <w:sz w:val="32"/>
          <w:szCs w:val="32"/>
        </w:rPr>
        <w:t>post-grad jobs</w:t>
      </w:r>
      <w:r w:rsidR="00FD3063">
        <w:rPr>
          <w:b w:val="0"/>
          <w:sz w:val="32"/>
          <w:szCs w:val="32"/>
        </w:rPr>
        <w:t xml:space="preserve"> </w:t>
      </w:r>
      <w:r w:rsidR="00BB4B71">
        <w:rPr>
          <w:b w:val="0"/>
          <w:sz w:val="32"/>
          <w:szCs w:val="32"/>
        </w:rPr>
        <w:t xml:space="preserve">                 </w:t>
      </w:r>
      <w:r w:rsidR="00BE2012">
        <w:rPr>
          <w:b w:val="0"/>
          <w:sz w:val="32"/>
          <w:szCs w:val="32"/>
        </w:rPr>
        <w:tab/>
      </w:r>
      <w:r w:rsidR="00FD3063">
        <w:rPr>
          <w:b w:val="0"/>
          <w:sz w:val="32"/>
          <w:szCs w:val="32"/>
        </w:rPr>
        <w:t>p. 12</w:t>
      </w:r>
    </w:p>
    <w:p w14:paraId="043905D5" w14:textId="290FDB1C" w:rsidR="00FD3063" w:rsidRDefault="00BB4B71" w:rsidP="00FD3063">
      <w:pPr>
        <w:pStyle w:val="Title"/>
        <w:numPr>
          <w:ilvl w:val="0"/>
          <w:numId w:val="34"/>
        </w:numPr>
        <w:jc w:val="left"/>
        <w:rPr>
          <w:b w:val="0"/>
          <w:sz w:val="32"/>
          <w:szCs w:val="32"/>
        </w:rPr>
      </w:pPr>
      <w:r>
        <w:rPr>
          <w:b w:val="0"/>
          <w:sz w:val="32"/>
          <w:szCs w:val="32"/>
        </w:rPr>
        <w:t>Critic</w:t>
      </w:r>
      <w:r w:rsidR="00CF1EA8">
        <w:rPr>
          <w:b w:val="0"/>
          <w:sz w:val="32"/>
          <w:szCs w:val="32"/>
        </w:rPr>
        <w:t>al thinking in research methods</w:t>
      </w:r>
      <w:r>
        <w:rPr>
          <w:b w:val="0"/>
          <w:sz w:val="32"/>
          <w:szCs w:val="32"/>
        </w:rPr>
        <w:t xml:space="preserve"> </w:t>
      </w:r>
      <w:r w:rsidR="00BE2012">
        <w:rPr>
          <w:b w:val="0"/>
          <w:sz w:val="32"/>
          <w:szCs w:val="32"/>
        </w:rPr>
        <w:tab/>
      </w:r>
      <w:r w:rsidR="00CF1EA8">
        <w:rPr>
          <w:b w:val="0"/>
          <w:sz w:val="32"/>
          <w:szCs w:val="32"/>
        </w:rPr>
        <w:tab/>
      </w:r>
      <w:r w:rsidR="00CF1EA8">
        <w:rPr>
          <w:b w:val="0"/>
          <w:sz w:val="32"/>
          <w:szCs w:val="32"/>
        </w:rPr>
        <w:tab/>
      </w:r>
      <w:r w:rsidR="00CF1EA8">
        <w:rPr>
          <w:b w:val="0"/>
          <w:sz w:val="32"/>
          <w:szCs w:val="32"/>
        </w:rPr>
        <w:tab/>
      </w:r>
      <w:r w:rsidR="00CF1EA8">
        <w:rPr>
          <w:b w:val="0"/>
          <w:sz w:val="32"/>
          <w:szCs w:val="32"/>
        </w:rPr>
        <w:tab/>
      </w:r>
      <w:r w:rsidR="00CF1EA8">
        <w:rPr>
          <w:b w:val="0"/>
          <w:sz w:val="32"/>
          <w:szCs w:val="32"/>
        </w:rPr>
        <w:tab/>
      </w:r>
      <w:r w:rsidR="00C243CB">
        <w:rPr>
          <w:b w:val="0"/>
          <w:sz w:val="32"/>
          <w:szCs w:val="32"/>
        </w:rPr>
        <w:tab/>
      </w:r>
      <w:r w:rsidR="00C243CB">
        <w:rPr>
          <w:b w:val="0"/>
          <w:sz w:val="32"/>
          <w:szCs w:val="32"/>
        </w:rPr>
        <w:tab/>
      </w:r>
      <w:r>
        <w:rPr>
          <w:b w:val="0"/>
          <w:sz w:val="32"/>
          <w:szCs w:val="32"/>
        </w:rPr>
        <w:t>p. 19</w:t>
      </w:r>
    </w:p>
    <w:p w14:paraId="0DA8669A" w14:textId="605580DC" w:rsidR="00F161CD" w:rsidRDefault="00BE2012" w:rsidP="00FD3063">
      <w:pPr>
        <w:pStyle w:val="Title"/>
        <w:numPr>
          <w:ilvl w:val="0"/>
          <w:numId w:val="34"/>
        </w:numPr>
        <w:jc w:val="left"/>
        <w:rPr>
          <w:b w:val="0"/>
          <w:sz w:val="32"/>
          <w:szCs w:val="32"/>
        </w:rPr>
      </w:pPr>
      <w:r>
        <w:rPr>
          <w:b w:val="0"/>
          <w:sz w:val="32"/>
          <w:szCs w:val="32"/>
        </w:rPr>
        <w:t xml:space="preserve">Quantitative literacy </w:t>
      </w:r>
      <w:r>
        <w:rPr>
          <w:b w:val="0"/>
          <w:sz w:val="32"/>
          <w:szCs w:val="32"/>
        </w:rPr>
        <w:tab/>
      </w:r>
      <w:r>
        <w:rPr>
          <w:b w:val="0"/>
          <w:sz w:val="32"/>
          <w:szCs w:val="32"/>
        </w:rPr>
        <w:tab/>
      </w:r>
      <w:r>
        <w:rPr>
          <w:b w:val="0"/>
          <w:sz w:val="32"/>
          <w:szCs w:val="32"/>
        </w:rPr>
        <w:tab/>
      </w:r>
      <w:r>
        <w:rPr>
          <w:b w:val="0"/>
          <w:sz w:val="32"/>
          <w:szCs w:val="32"/>
        </w:rPr>
        <w:tab/>
      </w:r>
      <w:r w:rsidR="00CF1EA8">
        <w:rPr>
          <w:b w:val="0"/>
          <w:sz w:val="32"/>
          <w:szCs w:val="32"/>
        </w:rPr>
        <w:tab/>
      </w:r>
      <w:r w:rsidR="00CF1EA8">
        <w:rPr>
          <w:b w:val="0"/>
          <w:sz w:val="32"/>
          <w:szCs w:val="32"/>
        </w:rPr>
        <w:tab/>
      </w:r>
      <w:r w:rsidR="00CF1EA8">
        <w:rPr>
          <w:b w:val="0"/>
          <w:sz w:val="32"/>
          <w:szCs w:val="32"/>
        </w:rPr>
        <w:tab/>
      </w:r>
      <w:r w:rsidR="00CF1EA8">
        <w:rPr>
          <w:b w:val="0"/>
          <w:sz w:val="32"/>
          <w:szCs w:val="32"/>
        </w:rPr>
        <w:tab/>
      </w:r>
      <w:r w:rsidR="00CF1EA8">
        <w:rPr>
          <w:b w:val="0"/>
          <w:sz w:val="32"/>
          <w:szCs w:val="32"/>
        </w:rPr>
        <w:tab/>
      </w:r>
      <w:r w:rsidR="00C243CB">
        <w:rPr>
          <w:b w:val="0"/>
          <w:sz w:val="32"/>
          <w:szCs w:val="32"/>
        </w:rPr>
        <w:tab/>
      </w:r>
      <w:r w:rsidR="00C243CB">
        <w:rPr>
          <w:b w:val="0"/>
          <w:sz w:val="32"/>
          <w:szCs w:val="32"/>
        </w:rPr>
        <w:tab/>
      </w:r>
      <w:r>
        <w:rPr>
          <w:b w:val="0"/>
          <w:sz w:val="32"/>
          <w:szCs w:val="32"/>
        </w:rPr>
        <w:t>p. 21</w:t>
      </w:r>
    </w:p>
    <w:p w14:paraId="42F69F14" w14:textId="4B3D60E5" w:rsidR="002A27C4" w:rsidRDefault="00C243CB" w:rsidP="00FD3063">
      <w:pPr>
        <w:pStyle w:val="Title"/>
        <w:numPr>
          <w:ilvl w:val="0"/>
          <w:numId w:val="34"/>
        </w:numPr>
        <w:jc w:val="left"/>
        <w:rPr>
          <w:b w:val="0"/>
          <w:sz w:val="32"/>
          <w:szCs w:val="32"/>
        </w:rPr>
      </w:pPr>
      <w:r>
        <w:rPr>
          <w:b w:val="0"/>
          <w:sz w:val="32"/>
          <w:szCs w:val="32"/>
        </w:rPr>
        <w:t xml:space="preserve">Knowledge base of Psychology </w:t>
      </w:r>
      <w:r>
        <w:rPr>
          <w:b w:val="0"/>
          <w:sz w:val="32"/>
          <w:szCs w:val="32"/>
        </w:rPr>
        <w:tab/>
      </w:r>
      <w:r>
        <w:rPr>
          <w:b w:val="0"/>
          <w:sz w:val="32"/>
          <w:szCs w:val="32"/>
        </w:rPr>
        <w:tab/>
      </w:r>
      <w:r>
        <w:rPr>
          <w:b w:val="0"/>
          <w:sz w:val="32"/>
          <w:szCs w:val="32"/>
        </w:rPr>
        <w:tab/>
      </w:r>
      <w:r>
        <w:rPr>
          <w:b w:val="0"/>
          <w:sz w:val="32"/>
          <w:szCs w:val="32"/>
        </w:rPr>
        <w:tab/>
      </w:r>
      <w:r>
        <w:rPr>
          <w:b w:val="0"/>
          <w:sz w:val="32"/>
          <w:szCs w:val="32"/>
        </w:rPr>
        <w:tab/>
      </w:r>
      <w:r>
        <w:rPr>
          <w:b w:val="0"/>
          <w:sz w:val="32"/>
          <w:szCs w:val="32"/>
        </w:rPr>
        <w:tab/>
      </w:r>
      <w:r>
        <w:rPr>
          <w:b w:val="0"/>
          <w:sz w:val="32"/>
          <w:szCs w:val="32"/>
        </w:rPr>
        <w:tab/>
      </w:r>
      <w:r>
        <w:rPr>
          <w:b w:val="0"/>
          <w:sz w:val="32"/>
          <w:szCs w:val="32"/>
        </w:rPr>
        <w:tab/>
      </w:r>
      <w:r>
        <w:rPr>
          <w:b w:val="0"/>
          <w:sz w:val="32"/>
          <w:szCs w:val="32"/>
        </w:rPr>
        <w:tab/>
        <w:t>p. 22</w:t>
      </w:r>
    </w:p>
    <w:p w14:paraId="0CBB1D64" w14:textId="30F521A9" w:rsidR="00C243CB" w:rsidRDefault="00C243CB" w:rsidP="00FD3063">
      <w:pPr>
        <w:pStyle w:val="Title"/>
        <w:numPr>
          <w:ilvl w:val="0"/>
          <w:numId w:val="34"/>
        </w:numPr>
        <w:jc w:val="left"/>
        <w:rPr>
          <w:b w:val="0"/>
          <w:sz w:val="32"/>
          <w:szCs w:val="32"/>
        </w:rPr>
      </w:pPr>
      <w:r>
        <w:rPr>
          <w:b w:val="0"/>
          <w:sz w:val="32"/>
          <w:szCs w:val="32"/>
        </w:rPr>
        <w:t xml:space="preserve">Engagement, </w:t>
      </w:r>
      <w:r w:rsidR="006655A4">
        <w:rPr>
          <w:b w:val="0"/>
          <w:sz w:val="32"/>
          <w:szCs w:val="32"/>
        </w:rPr>
        <w:t>Outreach, Integration</w:t>
      </w:r>
      <w:r w:rsidR="003F5D4F">
        <w:rPr>
          <w:b w:val="0"/>
          <w:sz w:val="32"/>
          <w:szCs w:val="32"/>
        </w:rPr>
        <w:t xml:space="preserve">; </w:t>
      </w:r>
      <w:r w:rsidR="006655A4">
        <w:rPr>
          <w:b w:val="0"/>
          <w:sz w:val="32"/>
          <w:szCs w:val="32"/>
        </w:rPr>
        <w:t xml:space="preserve"> </w:t>
      </w:r>
      <w:r w:rsidR="003F5D4F">
        <w:rPr>
          <w:b w:val="0"/>
          <w:sz w:val="32"/>
          <w:szCs w:val="32"/>
        </w:rPr>
        <w:t>Student research</w:t>
      </w:r>
      <w:r w:rsidR="006655A4">
        <w:rPr>
          <w:b w:val="0"/>
          <w:sz w:val="32"/>
          <w:szCs w:val="32"/>
        </w:rPr>
        <w:tab/>
      </w:r>
      <w:r w:rsidR="006655A4">
        <w:rPr>
          <w:b w:val="0"/>
          <w:sz w:val="32"/>
          <w:szCs w:val="32"/>
        </w:rPr>
        <w:tab/>
      </w:r>
      <w:r w:rsidR="006655A4">
        <w:rPr>
          <w:b w:val="0"/>
          <w:sz w:val="32"/>
          <w:szCs w:val="32"/>
        </w:rPr>
        <w:tab/>
      </w:r>
      <w:r w:rsidR="006655A4">
        <w:rPr>
          <w:b w:val="0"/>
          <w:sz w:val="32"/>
          <w:szCs w:val="32"/>
        </w:rPr>
        <w:tab/>
      </w:r>
      <w:r w:rsidR="006655A4">
        <w:rPr>
          <w:b w:val="0"/>
          <w:sz w:val="32"/>
          <w:szCs w:val="32"/>
        </w:rPr>
        <w:tab/>
        <w:t>p. 23</w:t>
      </w:r>
    </w:p>
    <w:p w14:paraId="6085D058" w14:textId="77777777" w:rsidR="00DF3993" w:rsidRDefault="00F161CD" w:rsidP="004662B0">
      <w:pPr>
        <w:pStyle w:val="Title"/>
        <w:jc w:val="left"/>
        <w:rPr>
          <w:b w:val="0"/>
          <w:sz w:val="32"/>
          <w:szCs w:val="32"/>
        </w:rPr>
      </w:pPr>
      <w:r>
        <w:rPr>
          <w:b w:val="0"/>
          <w:sz w:val="32"/>
          <w:szCs w:val="32"/>
        </w:rPr>
        <w:tab/>
      </w:r>
    </w:p>
    <w:p w14:paraId="19405634" w14:textId="77777777" w:rsidR="00DF3993" w:rsidRDefault="00DF3993" w:rsidP="004662B0">
      <w:pPr>
        <w:pStyle w:val="Title"/>
        <w:jc w:val="left"/>
        <w:rPr>
          <w:b w:val="0"/>
          <w:sz w:val="32"/>
          <w:szCs w:val="32"/>
        </w:rPr>
      </w:pPr>
    </w:p>
    <w:p w14:paraId="5437CC07" w14:textId="77777777" w:rsidR="00DF3993" w:rsidRDefault="00DF3993" w:rsidP="004662B0">
      <w:pPr>
        <w:pStyle w:val="Title"/>
        <w:jc w:val="left"/>
        <w:rPr>
          <w:b w:val="0"/>
          <w:sz w:val="32"/>
          <w:szCs w:val="32"/>
        </w:rPr>
      </w:pPr>
    </w:p>
    <w:p w14:paraId="7AC3449F" w14:textId="77777777" w:rsidR="00474D7D" w:rsidRDefault="00474D7D" w:rsidP="00DF3993">
      <w:pPr>
        <w:pStyle w:val="Title"/>
        <w:ind w:firstLine="720"/>
        <w:jc w:val="left"/>
        <w:rPr>
          <w:b w:val="0"/>
          <w:sz w:val="32"/>
          <w:szCs w:val="32"/>
        </w:rPr>
      </w:pPr>
    </w:p>
    <w:p w14:paraId="302C7E00" w14:textId="77777777" w:rsidR="00474D7D" w:rsidRDefault="00474D7D" w:rsidP="00DF3993">
      <w:pPr>
        <w:pStyle w:val="Title"/>
        <w:ind w:firstLine="720"/>
        <w:jc w:val="left"/>
        <w:rPr>
          <w:b w:val="0"/>
          <w:sz w:val="32"/>
          <w:szCs w:val="32"/>
        </w:rPr>
      </w:pPr>
    </w:p>
    <w:p w14:paraId="320AF54D" w14:textId="3B659ABF" w:rsidR="00741947" w:rsidRDefault="008C12C6" w:rsidP="00DF3993">
      <w:pPr>
        <w:pStyle w:val="Title"/>
        <w:ind w:firstLine="720"/>
        <w:jc w:val="left"/>
        <w:rPr>
          <w:b w:val="0"/>
          <w:sz w:val="32"/>
          <w:szCs w:val="32"/>
        </w:rPr>
      </w:pPr>
      <w:r>
        <w:rPr>
          <w:b w:val="0"/>
          <w:sz w:val="32"/>
          <w:szCs w:val="32"/>
        </w:rPr>
        <w:t xml:space="preserve">Section 2. </w:t>
      </w:r>
      <w:r w:rsidR="00D06C1E">
        <w:rPr>
          <w:b w:val="0"/>
          <w:sz w:val="32"/>
          <w:szCs w:val="32"/>
        </w:rPr>
        <w:t xml:space="preserve">M.S. </w:t>
      </w:r>
      <w:r w:rsidR="00741947">
        <w:rPr>
          <w:b w:val="0"/>
          <w:sz w:val="32"/>
          <w:szCs w:val="32"/>
        </w:rPr>
        <w:t xml:space="preserve">Graduate </w:t>
      </w:r>
      <w:r w:rsidR="00546908">
        <w:rPr>
          <w:b w:val="0"/>
          <w:sz w:val="32"/>
          <w:szCs w:val="32"/>
        </w:rPr>
        <w:t xml:space="preserve">program </w:t>
      </w:r>
      <w:r w:rsidR="00741947">
        <w:rPr>
          <w:b w:val="0"/>
          <w:sz w:val="32"/>
          <w:szCs w:val="32"/>
        </w:rPr>
        <w:t xml:space="preserve">assessment </w:t>
      </w:r>
      <w:r w:rsidR="00FE6986">
        <w:rPr>
          <w:b w:val="0"/>
          <w:sz w:val="32"/>
          <w:szCs w:val="32"/>
        </w:rPr>
        <w:tab/>
      </w:r>
      <w:r w:rsidR="00FE6986">
        <w:rPr>
          <w:b w:val="0"/>
          <w:sz w:val="32"/>
          <w:szCs w:val="32"/>
        </w:rPr>
        <w:tab/>
      </w:r>
      <w:r w:rsidR="00FE6986">
        <w:rPr>
          <w:b w:val="0"/>
          <w:sz w:val="32"/>
          <w:szCs w:val="32"/>
        </w:rPr>
        <w:tab/>
      </w:r>
      <w:r w:rsidR="00FE6986">
        <w:rPr>
          <w:b w:val="0"/>
          <w:sz w:val="32"/>
          <w:szCs w:val="32"/>
        </w:rPr>
        <w:tab/>
      </w:r>
      <w:r w:rsidR="00FE6986">
        <w:rPr>
          <w:b w:val="0"/>
          <w:sz w:val="32"/>
          <w:szCs w:val="32"/>
        </w:rPr>
        <w:tab/>
      </w:r>
      <w:r w:rsidR="00FE6986">
        <w:rPr>
          <w:b w:val="0"/>
          <w:sz w:val="32"/>
          <w:szCs w:val="32"/>
        </w:rPr>
        <w:tab/>
      </w:r>
      <w:r w:rsidR="00FE6986">
        <w:rPr>
          <w:b w:val="0"/>
          <w:sz w:val="32"/>
          <w:szCs w:val="32"/>
        </w:rPr>
        <w:tab/>
      </w:r>
      <w:r w:rsidR="00FE6986">
        <w:rPr>
          <w:b w:val="0"/>
          <w:sz w:val="32"/>
          <w:szCs w:val="32"/>
        </w:rPr>
        <w:tab/>
      </w:r>
      <w:r w:rsidR="00FE6986">
        <w:rPr>
          <w:b w:val="0"/>
          <w:sz w:val="32"/>
          <w:szCs w:val="32"/>
        </w:rPr>
        <w:tab/>
        <w:t>p. 25</w:t>
      </w:r>
      <w:r w:rsidR="004813DA">
        <w:rPr>
          <w:b w:val="0"/>
          <w:sz w:val="32"/>
          <w:szCs w:val="32"/>
        </w:rPr>
        <w:t>-28</w:t>
      </w:r>
    </w:p>
    <w:p w14:paraId="4C0A4FFC" w14:textId="0362B96A" w:rsidR="00566231" w:rsidRDefault="00FE6986" w:rsidP="004662B0">
      <w:pPr>
        <w:pStyle w:val="Title"/>
        <w:jc w:val="left"/>
        <w:rPr>
          <w:b w:val="0"/>
          <w:sz w:val="32"/>
          <w:szCs w:val="32"/>
        </w:rPr>
      </w:pPr>
      <w:r>
        <w:rPr>
          <w:b w:val="0"/>
          <w:sz w:val="32"/>
          <w:szCs w:val="32"/>
        </w:rPr>
        <w:tab/>
      </w:r>
      <w:r>
        <w:rPr>
          <w:b w:val="0"/>
          <w:sz w:val="32"/>
          <w:szCs w:val="32"/>
        </w:rPr>
        <w:tab/>
      </w:r>
      <w:r w:rsidR="00566231">
        <w:rPr>
          <w:b w:val="0"/>
          <w:sz w:val="32"/>
          <w:szCs w:val="32"/>
        </w:rPr>
        <w:t>Enrollment and retention</w:t>
      </w:r>
      <w:r w:rsidR="00566231">
        <w:rPr>
          <w:b w:val="0"/>
          <w:sz w:val="32"/>
          <w:szCs w:val="32"/>
        </w:rPr>
        <w:tab/>
      </w:r>
      <w:r w:rsidR="00566231">
        <w:rPr>
          <w:b w:val="0"/>
          <w:sz w:val="32"/>
          <w:szCs w:val="32"/>
        </w:rPr>
        <w:tab/>
      </w:r>
      <w:r w:rsidR="00566231">
        <w:rPr>
          <w:b w:val="0"/>
          <w:sz w:val="32"/>
          <w:szCs w:val="32"/>
        </w:rPr>
        <w:tab/>
      </w:r>
      <w:r w:rsidR="00566231">
        <w:rPr>
          <w:b w:val="0"/>
          <w:sz w:val="32"/>
          <w:szCs w:val="32"/>
        </w:rPr>
        <w:tab/>
      </w:r>
      <w:r w:rsidR="00566231">
        <w:rPr>
          <w:b w:val="0"/>
          <w:sz w:val="32"/>
          <w:szCs w:val="32"/>
        </w:rPr>
        <w:tab/>
      </w:r>
      <w:r w:rsidR="00566231">
        <w:rPr>
          <w:b w:val="0"/>
          <w:sz w:val="32"/>
          <w:szCs w:val="32"/>
        </w:rPr>
        <w:tab/>
      </w:r>
      <w:r w:rsidR="00566231">
        <w:rPr>
          <w:b w:val="0"/>
          <w:sz w:val="32"/>
          <w:szCs w:val="32"/>
        </w:rPr>
        <w:tab/>
      </w:r>
      <w:r w:rsidR="00566231">
        <w:rPr>
          <w:b w:val="0"/>
          <w:sz w:val="32"/>
          <w:szCs w:val="32"/>
        </w:rPr>
        <w:tab/>
      </w:r>
      <w:r w:rsidR="00566231">
        <w:rPr>
          <w:b w:val="0"/>
          <w:sz w:val="32"/>
          <w:szCs w:val="32"/>
        </w:rPr>
        <w:tab/>
      </w:r>
      <w:r w:rsidR="00566231">
        <w:rPr>
          <w:b w:val="0"/>
          <w:sz w:val="32"/>
          <w:szCs w:val="32"/>
        </w:rPr>
        <w:tab/>
      </w:r>
      <w:r w:rsidR="00566231">
        <w:rPr>
          <w:b w:val="0"/>
          <w:sz w:val="32"/>
          <w:szCs w:val="32"/>
        </w:rPr>
        <w:tab/>
      </w:r>
      <w:r w:rsidR="00566231">
        <w:rPr>
          <w:b w:val="0"/>
          <w:sz w:val="32"/>
          <w:szCs w:val="32"/>
        </w:rPr>
        <w:tab/>
        <w:t>p. 25</w:t>
      </w:r>
    </w:p>
    <w:p w14:paraId="05BD6FDC" w14:textId="1B1B575A" w:rsidR="00FE6986" w:rsidRDefault="00D06C1E" w:rsidP="00566231">
      <w:pPr>
        <w:pStyle w:val="Title"/>
        <w:ind w:left="720" w:firstLine="720"/>
        <w:jc w:val="left"/>
        <w:rPr>
          <w:b w:val="0"/>
          <w:sz w:val="32"/>
          <w:szCs w:val="32"/>
        </w:rPr>
      </w:pPr>
      <w:r>
        <w:rPr>
          <w:b w:val="0"/>
          <w:sz w:val="32"/>
          <w:szCs w:val="32"/>
        </w:rPr>
        <w:t xml:space="preserve">Doctoral program </w:t>
      </w:r>
      <w:r w:rsidR="003442B3">
        <w:rPr>
          <w:b w:val="0"/>
          <w:sz w:val="32"/>
          <w:szCs w:val="32"/>
        </w:rPr>
        <w:t>preparation</w:t>
      </w:r>
      <w:r w:rsidR="004813DA">
        <w:rPr>
          <w:b w:val="0"/>
          <w:sz w:val="32"/>
          <w:szCs w:val="32"/>
        </w:rPr>
        <w:t xml:space="preserve"> and careers</w:t>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3442B3">
        <w:rPr>
          <w:b w:val="0"/>
          <w:sz w:val="32"/>
          <w:szCs w:val="32"/>
        </w:rPr>
        <w:t>p. 27</w:t>
      </w:r>
    </w:p>
    <w:p w14:paraId="6A9DE8BA" w14:textId="1ABA193E" w:rsidR="00DF3993" w:rsidRDefault="00DF3993" w:rsidP="004662B0">
      <w:pPr>
        <w:pStyle w:val="Title"/>
        <w:jc w:val="left"/>
        <w:rPr>
          <w:b w:val="0"/>
          <w:sz w:val="32"/>
          <w:szCs w:val="32"/>
        </w:rPr>
      </w:pPr>
      <w:r>
        <w:rPr>
          <w:b w:val="0"/>
          <w:sz w:val="32"/>
          <w:szCs w:val="32"/>
        </w:rPr>
        <w:tab/>
      </w:r>
      <w:r>
        <w:rPr>
          <w:b w:val="0"/>
          <w:sz w:val="32"/>
          <w:szCs w:val="32"/>
        </w:rPr>
        <w:tab/>
      </w:r>
      <w:r w:rsidR="004813DA">
        <w:rPr>
          <w:b w:val="0"/>
          <w:sz w:val="32"/>
          <w:szCs w:val="32"/>
        </w:rPr>
        <w:t>Student satisfaction</w:t>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r>
      <w:r w:rsidR="004813DA">
        <w:rPr>
          <w:b w:val="0"/>
          <w:sz w:val="32"/>
          <w:szCs w:val="32"/>
        </w:rPr>
        <w:tab/>
        <w:t>p. 28</w:t>
      </w:r>
    </w:p>
    <w:p w14:paraId="46F6096D" w14:textId="46227B38" w:rsidR="00DF3993" w:rsidRDefault="00DF3993" w:rsidP="004662B0">
      <w:pPr>
        <w:pStyle w:val="Title"/>
        <w:jc w:val="left"/>
        <w:rPr>
          <w:b w:val="0"/>
          <w:sz w:val="32"/>
          <w:szCs w:val="32"/>
        </w:rPr>
      </w:pPr>
      <w:r>
        <w:rPr>
          <w:b w:val="0"/>
          <w:sz w:val="32"/>
          <w:szCs w:val="32"/>
        </w:rPr>
        <w:tab/>
      </w:r>
      <w:r>
        <w:rPr>
          <w:b w:val="0"/>
          <w:sz w:val="32"/>
          <w:szCs w:val="32"/>
        </w:rPr>
        <w:tab/>
        <w:t>Research productivity</w:t>
      </w:r>
      <w:r w:rsidR="003442B3">
        <w:rPr>
          <w:b w:val="0"/>
          <w:sz w:val="32"/>
          <w:szCs w:val="32"/>
        </w:rPr>
        <w:tab/>
      </w:r>
      <w:r w:rsidR="003442B3">
        <w:rPr>
          <w:b w:val="0"/>
          <w:sz w:val="32"/>
          <w:szCs w:val="32"/>
        </w:rPr>
        <w:tab/>
      </w:r>
      <w:r w:rsidR="003442B3">
        <w:rPr>
          <w:b w:val="0"/>
          <w:sz w:val="32"/>
          <w:szCs w:val="32"/>
        </w:rPr>
        <w:tab/>
      </w:r>
      <w:r w:rsidR="003442B3">
        <w:rPr>
          <w:b w:val="0"/>
          <w:sz w:val="32"/>
          <w:szCs w:val="32"/>
        </w:rPr>
        <w:tab/>
      </w:r>
      <w:r w:rsidR="003442B3">
        <w:rPr>
          <w:b w:val="0"/>
          <w:sz w:val="32"/>
          <w:szCs w:val="32"/>
        </w:rPr>
        <w:tab/>
      </w:r>
      <w:r w:rsidR="003442B3">
        <w:rPr>
          <w:b w:val="0"/>
          <w:sz w:val="32"/>
          <w:szCs w:val="32"/>
        </w:rPr>
        <w:tab/>
      </w:r>
      <w:r w:rsidR="003442B3">
        <w:rPr>
          <w:b w:val="0"/>
          <w:sz w:val="32"/>
          <w:szCs w:val="32"/>
        </w:rPr>
        <w:tab/>
      </w:r>
      <w:r w:rsidR="003442B3">
        <w:rPr>
          <w:b w:val="0"/>
          <w:sz w:val="32"/>
          <w:szCs w:val="32"/>
        </w:rPr>
        <w:tab/>
      </w:r>
      <w:r w:rsidR="003442B3">
        <w:rPr>
          <w:b w:val="0"/>
          <w:sz w:val="32"/>
          <w:szCs w:val="32"/>
        </w:rPr>
        <w:tab/>
      </w:r>
      <w:r w:rsidR="003442B3">
        <w:rPr>
          <w:b w:val="0"/>
          <w:sz w:val="32"/>
          <w:szCs w:val="32"/>
        </w:rPr>
        <w:tab/>
      </w:r>
      <w:r w:rsidR="003442B3">
        <w:rPr>
          <w:b w:val="0"/>
          <w:sz w:val="32"/>
          <w:szCs w:val="32"/>
        </w:rPr>
        <w:tab/>
      </w:r>
      <w:r w:rsidR="003442B3">
        <w:rPr>
          <w:b w:val="0"/>
          <w:sz w:val="32"/>
          <w:szCs w:val="32"/>
        </w:rPr>
        <w:tab/>
      </w:r>
      <w:r w:rsidR="003442B3">
        <w:rPr>
          <w:b w:val="0"/>
          <w:sz w:val="32"/>
          <w:szCs w:val="32"/>
        </w:rPr>
        <w:tab/>
        <w:t>p. 28</w:t>
      </w:r>
    </w:p>
    <w:p w14:paraId="1E37115F" w14:textId="77777777" w:rsidR="00F1037E" w:rsidRDefault="00F1037E" w:rsidP="004662B0">
      <w:pPr>
        <w:pStyle w:val="Title"/>
        <w:jc w:val="left"/>
        <w:rPr>
          <w:b w:val="0"/>
          <w:sz w:val="32"/>
          <w:szCs w:val="32"/>
        </w:rPr>
      </w:pPr>
    </w:p>
    <w:p w14:paraId="697165A2" w14:textId="77777777" w:rsidR="00741947" w:rsidRDefault="00741947" w:rsidP="004662B0">
      <w:pPr>
        <w:pStyle w:val="Title"/>
        <w:jc w:val="left"/>
        <w:rPr>
          <w:b w:val="0"/>
          <w:sz w:val="32"/>
          <w:szCs w:val="32"/>
        </w:rPr>
      </w:pPr>
    </w:p>
    <w:p w14:paraId="4C925879" w14:textId="742C472C" w:rsidR="009A54B8" w:rsidRDefault="004662B0" w:rsidP="004662B0">
      <w:pPr>
        <w:pStyle w:val="Title"/>
        <w:jc w:val="left"/>
        <w:rPr>
          <w:b w:val="0"/>
          <w:sz w:val="32"/>
          <w:szCs w:val="32"/>
        </w:rPr>
      </w:pPr>
      <w:r>
        <w:rPr>
          <w:b w:val="0"/>
          <w:sz w:val="32"/>
          <w:szCs w:val="32"/>
        </w:rPr>
        <w:tab/>
      </w:r>
    </w:p>
    <w:p w14:paraId="2558FF69" w14:textId="77777777" w:rsidR="009A54B8" w:rsidRDefault="009A54B8" w:rsidP="004662B0">
      <w:pPr>
        <w:pStyle w:val="Title"/>
        <w:jc w:val="left"/>
        <w:rPr>
          <w:b w:val="0"/>
          <w:sz w:val="32"/>
          <w:szCs w:val="32"/>
        </w:rPr>
      </w:pPr>
    </w:p>
    <w:p w14:paraId="624B36BC" w14:textId="3CE4A74B" w:rsidR="009A54B8" w:rsidRPr="00D047FD" w:rsidRDefault="009A54B8" w:rsidP="009A54B8">
      <w:pPr>
        <w:rPr>
          <w:b/>
        </w:rPr>
      </w:pPr>
      <w:r>
        <w:rPr>
          <w:b/>
          <w:sz w:val="32"/>
          <w:szCs w:val="32"/>
        </w:rPr>
        <w:br w:type="page"/>
      </w:r>
      <w:r w:rsidRPr="00D047FD">
        <w:rPr>
          <w:b/>
        </w:rPr>
        <w:t>Lawrence University Psychology Department Capstone Assessment</w:t>
      </w:r>
      <w:r w:rsidR="00D047FD">
        <w:rPr>
          <w:b/>
        </w:rPr>
        <w:t xml:space="preserve"> Rubric</w:t>
      </w:r>
    </w:p>
    <w:p w14:paraId="7A7FB118" w14:textId="77777777" w:rsidR="009A54B8" w:rsidRDefault="009A54B8" w:rsidP="009A54B8"/>
    <w:p w14:paraId="0FB9EE04" w14:textId="77777777" w:rsidR="009A54B8" w:rsidRPr="00081F34" w:rsidRDefault="009A54B8" w:rsidP="009A54B8">
      <w:pPr>
        <w:rPr>
          <w:sz w:val="22"/>
        </w:rPr>
      </w:pPr>
      <w:r w:rsidRPr="00081F34">
        <w:rPr>
          <w:sz w:val="22"/>
        </w:rPr>
        <w:t>Evaluation of Senior Capstone Presentations</w:t>
      </w:r>
      <w:r w:rsidRPr="00081F34">
        <w:rPr>
          <w:sz w:val="22"/>
        </w:rPr>
        <w:tab/>
      </w:r>
      <w:r w:rsidRPr="00081F34">
        <w:rPr>
          <w:sz w:val="22"/>
        </w:rPr>
        <w:tab/>
      </w:r>
      <w:r w:rsidRPr="00081F34">
        <w:rPr>
          <w:sz w:val="22"/>
        </w:rPr>
        <w:tab/>
        <w:t>Date:__________________</w:t>
      </w:r>
    </w:p>
    <w:p w14:paraId="6AECD283" w14:textId="77777777" w:rsidR="009A54B8" w:rsidRPr="00081F34" w:rsidRDefault="009A54B8" w:rsidP="009A54B8">
      <w:pPr>
        <w:rPr>
          <w:sz w:val="22"/>
        </w:rPr>
      </w:pPr>
      <w:r w:rsidRPr="00081F34">
        <w:rPr>
          <w:sz w:val="22"/>
        </w:rPr>
        <w:t>Student:  _______________</w:t>
      </w:r>
      <w:r w:rsidRPr="00081F34">
        <w:rPr>
          <w:sz w:val="22"/>
        </w:rPr>
        <w:tab/>
      </w:r>
      <w:r w:rsidRPr="00081F34">
        <w:rPr>
          <w:sz w:val="22"/>
        </w:rPr>
        <w:tab/>
        <w:t>Topic:  __________________________________</w:t>
      </w:r>
      <w:r w:rsidRPr="00081F34">
        <w:rPr>
          <w:sz w:val="22"/>
        </w:rPr>
        <w:tab/>
      </w:r>
    </w:p>
    <w:p w14:paraId="1A54DB3C" w14:textId="77777777" w:rsidR="009A54B8" w:rsidRPr="00081F34" w:rsidRDefault="009A54B8" w:rsidP="009A54B8">
      <w:pPr>
        <w:rPr>
          <w:sz w:val="22"/>
        </w:rPr>
      </w:pPr>
    </w:p>
    <w:p w14:paraId="446B5926" w14:textId="77777777" w:rsidR="009A54B8" w:rsidRPr="00081F34" w:rsidRDefault="009A54B8" w:rsidP="009A54B8">
      <w:pPr>
        <w:rPr>
          <w:b/>
          <w:sz w:val="22"/>
        </w:rPr>
      </w:pPr>
      <w:r w:rsidRPr="00081F34">
        <w:rPr>
          <w:b/>
          <w:sz w:val="22"/>
        </w:rPr>
        <w:t>Critical Thinking</w:t>
      </w:r>
    </w:p>
    <w:p w14:paraId="6547E42A" w14:textId="77777777" w:rsidR="009A54B8" w:rsidRPr="00081F34" w:rsidRDefault="009A54B8" w:rsidP="009A54B8">
      <w:pPr>
        <w:numPr>
          <w:ilvl w:val="0"/>
          <w:numId w:val="20"/>
        </w:numPr>
        <w:rPr>
          <w:sz w:val="22"/>
        </w:rPr>
      </w:pPr>
      <w:r w:rsidRPr="00081F34">
        <w:rPr>
          <w:sz w:val="22"/>
        </w:rPr>
        <w:t>The presentation demonstrated critical thinking about psychological research.</w:t>
      </w:r>
    </w:p>
    <w:p w14:paraId="1209058A" w14:textId="77777777"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p>
    <w:p w14:paraId="7F263048" w14:textId="77777777" w:rsidR="009A54B8" w:rsidRPr="00081F34" w:rsidRDefault="009A54B8" w:rsidP="009A54B8">
      <w:pPr>
        <w:rPr>
          <w:sz w:val="22"/>
        </w:rPr>
      </w:pPr>
      <w:r w:rsidRPr="00081F34">
        <w:rPr>
          <w:sz w:val="22"/>
        </w:rPr>
        <w:tab/>
        <w:t xml:space="preserve">     very weak</w:t>
      </w:r>
      <w:r w:rsidRPr="00081F34">
        <w:rPr>
          <w:sz w:val="22"/>
        </w:rPr>
        <w:tab/>
      </w:r>
      <w:r w:rsidRPr="00081F34">
        <w:rPr>
          <w:sz w:val="22"/>
        </w:rPr>
        <w:tab/>
        <w:t xml:space="preserve">       average</w:t>
      </w:r>
      <w:r w:rsidRPr="00081F34">
        <w:rPr>
          <w:sz w:val="22"/>
        </w:rPr>
        <w:tab/>
      </w:r>
      <w:r w:rsidRPr="00081F34">
        <w:rPr>
          <w:sz w:val="22"/>
        </w:rPr>
        <w:tab/>
        <w:t xml:space="preserve">    very strong</w:t>
      </w:r>
    </w:p>
    <w:p w14:paraId="7717405A" w14:textId="77777777" w:rsidR="009A54B8" w:rsidRPr="00081F34" w:rsidRDefault="009A54B8" w:rsidP="009A54B8">
      <w:pPr>
        <w:ind w:left="360"/>
        <w:rPr>
          <w:sz w:val="22"/>
        </w:rPr>
      </w:pPr>
    </w:p>
    <w:p w14:paraId="520CA2D2" w14:textId="77777777" w:rsidR="009A54B8" w:rsidRPr="00081F34" w:rsidRDefault="009A54B8" w:rsidP="009A54B8">
      <w:pPr>
        <w:numPr>
          <w:ilvl w:val="0"/>
          <w:numId w:val="20"/>
        </w:numPr>
        <w:rPr>
          <w:sz w:val="22"/>
        </w:rPr>
      </w:pPr>
      <w:r w:rsidRPr="00081F34">
        <w:rPr>
          <w:sz w:val="22"/>
        </w:rPr>
        <w:t>The presentation demonstrated understanding of the interplay between psychological theory and research.</w:t>
      </w:r>
    </w:p>
    <w:p w14:paraId="49CF424E" w14:textId="77777777"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p>
    <w:p w14:paraId="2F2F9962" w14:textId="77777777" w:rsidR="009A54B8" w:rsidRPr="00081F34" w:rsidRDefault="009A54B8" w:rsidP="009A54B8">
      <w:pPr>
        <w:rPr>
          <w:sz w:val="22"/>
        </w:rPr>
      </w:pPr>
      <w:r w:rsidRPr="00081F34">
        <w:rPr>
          <w:sz w:val="22"/>
        </w:rPr>
        <w:tab/>
        <w:t xml:space="preserve">     very weak</w:t>
      </w:r>
      <w:r w:rsidRPr="00081F34">
        <w:rPr>
          <w:sz w:val="22"/>
        </w:rPr>
        <w:tab/>
      </w:r>
      <w:r w:rsidRPr="00081F34">
        <w:rPr>
          <w:sz w:val="22"/>
        </w:rPr>
        <w:tab/>
        <w:t xml:space="preserve">       average</w:t>
      </w:r>
      <w:r w:rsidRPr="00081F34">
        <w:rPr>
          <w:sz w:val="22"/>
        </w:rPr>
        <w:tab/>
      </w:r>
      <w:r w:rsidRPr="00081F34">
        <w:rPr>
          <w:sz w:val="22"/>
        </w:rPr>
        <w:tab/>
        <w:t xml:space="preserve">    very strong</w:t>
      </w:r>
    </w:p>
    <w:p w14:paraId="501BFF6B" w14:textId="77777777" w:rsidR="009A54B8" w:rsidRPr="00081F34" w:rsidRDefault="009A54B8" w:rsidP="009A54B8">
      <w:pPr>
        <w:ind w:left="1440"/>
        <w:rPr>
          <w:sz w:val="22"/>
        </w:rPr>
      </w:pPr>
    </w:p>
    <w:p w14:paraId="5D229C43" w14:textId="77777777" w:rsidR="009A54B8" w:rsidRPr="00081F34" w:rsidRDefault="009A54B8" w:rsidP="009A54B8">
      <w:pPr>
        <w:rPr>
          <w:b/>
          <w:sz w:val="22"/>
        </w:rPr>
      </w:pPr>
      <w:r w:rsidRPr="00081F34">
        <w:rPr>
          <w:b/>
          <w:sz w:val="22"/>
        </w:rPr>
        <w:t>Oral Communication</w:t>
      </w:r>
    </w:p>
    <w:p w14:paraId="13D1A1DD" w14:textId="77777777" w:rsidR="009A54B8" w:rsidRPr="00081F34" w:rsidRDefault="009A54B8" w:rsidP="009A54B8">
      <w:pPr>
        <w:numPr>
          <w:ilvl w:val="0"/>
          <w:numId w:val="20"/>
        </w:numPr>
        <w:rPr>
          <w:sz w:val="22"/>
        </w:rPr>
      </w:pPr>
      <w:r w:rsidRPr="00081F34">
        <w:rPr>
          <w:sz w:val="22"/>
        </w:rPr>
        <w:t>The presentation was well organized.</w:t>
      </w:r>
    </w:p>
    <w:p w14:paraId="6C3B67DC" w14:textId="77777777"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p>
    <w:p w14:paraId="3E0C5530" w14:textId="77777777" w:rsidR="009A54B8" w:rsidRPr="00081F34" w:rsidRDefault="009A54B8" w:rsidP="009A54B8">
      <w:pPr>
        <w:rPr>
          <w:sz w:val="22"/>
        </w:rPr>
      </w:pPr>
      <w:r w:rsidRPr="00081F34">
        <w:rPr>
          <w:sz w:val="22"/>
        </w:rPr>
        <w:tab/>
        <w:t xml:space="preserve">     very weak</w:t>
      </w:r>
      <w:r w:rsidRPr="00081F34">
        <w:rPr>
          <w:sz w:val="22"/>
        </w:rPr>
        <w:tab/>
      </w:r>
      <w:r w:rsidRPr="00081F34">
        <w:rPr>
          <w:sz w:val="22"/>
        </w:rPr>
        <w:tab/>
        <w:t xml:space="preserve">       average</w:t>
      </w:r>
      <w:r w:rsidRPr="00081F34">
        <w:rPr>
          <w:sz w:val="22"/>
        </w:rPr>
        <w:tab/>
      </w:r>
      <w:r w:rsidRPr="00081F34">
        <w:rPr>
          <w:sz w:val="22"/>
        </w:rPr>
        <w:tab/>
        <w:t xml:space="preserve">    very strong</w:t>
      </w:r>
    </w:p>
    <w:p w14:paraId="7A2CEC6C" w14:textId="77777777" w:rsidR="009A54B8" w:rsidRPr="00081F34" w:rsidRDefault="009A54B8" w:rsidP="009A54B8">
      <w:pPr>
        <w:ind w:left="360"/>
        <w:rPr>
          <w:sz w:val="22"/>
        </w:rPr>
      </w:pPr>
    </w:p>
    <w:p w14:paraId="2876F135" w14:textId="77777777" w:rsidR="009A54B8" w:rsidRPr="00081F34" w:rsidRDefault="009A54B8" w:rsidP="009A54B8">
      <w:pPr>
        <w:numPr>
          <w:ilvl w:val="0"/>
          <w:numId w:val="20"/>
        </w:numPr>
        <w:rPr>
          <w:sz w:val="22"/>
        </w:rPr>
      </w:pPr>
      <w:r w:rsidRPr="00081F34">
        <w:rPr>
          <w:sz w:val="22"/>
        </w:rPr>
        <w:t>Important points were clearly explained.</w:t>
      </w:r>
    </w:p>
    <w:p w14:paraId="76104F66" w14:textId="77777777"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p>
    <w:p w14:paraId="6AC2F164" w14:textId="77777777" w:rsidR="009A54B8" w:rsidRPr="00081F34" w:rsidRDefault="009A54B8" w:rsidP="009A54B8">
      <w:pPr>
        <w:rPr>
          <w:sz w:val="22"/>
        </w:rPr>
      </w:pPr>
      <w:r w:rsidRPr="00081F34">
        <w:rPr>
          <w:sz w:val="22"/>
        </w:rPr>
        <w:tab/>
        <w:t xml:space="preserve">     very weak</w:t>
      </w:r>
      <w:r w:rsidRPr="00081F34">
        <w:rPr>
          <w:sz w:val="22"/>
        </w:rPr>
        <w:tab/>
      </w:r>
      <w:r w:rsidRPr="00081F34">
        <w:rPr>
          <w:sz w:val="22"/>
        </w:rPr>
        <w:tab/>
        <w:t xml:space="preserve">       average</w:t>
      </w:r>
      <w:r w:rsidRPr="00081F34">
        <w:rPr>
          <w:sz w:val="22"/>
        </w:rPr>
        <w:tab/>
      </w:r>
      <w:r w:rsidRPr="00081F34">
        <w:rPr>
          <w:sz w:val="22"/>
        </w:rPr>
        <w:tab/>
        <w:t xml:space="preserve">    very strong</w:t>
      </w:r>
    </w:p>
    <w:p w14:paraId="53B3748D" w14:textId="77777777" w:rsidR="009A54B8" w:rsidRPr="00081F34" w:rsidRDefault="009A54B8" w:rsidP="009A54B8">
      <w:pPr>
        <w:ind w:left="1440"/>
        <w:rPr>
          <w:sz w:val="22"/>
        </w:rPr>
      </w:pPr>
    </w:p>
    <w:p w14:paraId="268B1C4B" w14:textId="77777777" w:rsidR="009A54B8" w:rsidRPr="00081F34" w:rsidRDefault="009A54B8" w:rsidP="009A54B8">
      <w:pPr>
        <w:numPr>
          <w:ilvl w:val="0"/>
          <w:numId w:val="20"/>
        </w:numPr>
        <w:rPr>
          <w:sz w:val="22"/>
        </w:rPr>
      </w:pPr>
      <w:r w:rsidRPr="00081F34">
        <w:rPr>
          <w:sz w:val="22"/>
        </w:rPr>
        <w:t>The style of the presentation was engaging.</w:t>
      </w:r>
    </w:p>
    <w:p w14:paraId="41C91F45" w14:textId="77777777"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p>
    <w:p w14:paraId="5BC1727B" w14:textId="77777777" w:rsidR="009A54B8" w:rsidRPr="00081F34" w:rsidRDefault="009A54B8" w:rsidP="009A54B8">
      <w:pPr>
        <w:rPr>
          <w:sz w:val="22"/>
        </w:rPr>
      </w:pPr>
      <w:r w:rsidRPr="00081F34">
        <w:rPr>
          <w:sz w:val="22"/>
        </w:rPr>
        <w:tab/>
        <w:t xml:space="preserve">     very weak</w:t>
      </w:r>
      <w:r w:rsidRPr="00081F34">
        <w:rPr>
          <w:sz w:val="22"/>
        </w:rPr>
        <w:tab/>
      </w:r>
      <w:r w:rsidRPr="00081F34">
        <w:rPr>
          <w:sz w:val="22"/>
        </w:rPr>
        <w:tab/>
        <w:t xml:space="preserve">       average</w:t>
      </w:r>
      <w:r w:rsidRPr="00081F34">
        <w:rPr>
          <w:sz w:val="22"/>
        </w:rPr>
        <w:tab/>
      </w:r>
      <w:r w:rsidRPr="00081F34">
        <w:rPr>
          <w:sz w:val="22"/>
        </w:rPr>
        <w:tab/>
        <w:t xml:space="preserve">    very strong</w:t>
      </w:r>
    </w:p>
    <w:p w14:paraId="2751BF6A" w14:textId="77777777" w:rsidR="009A54B8" w:rsidRPr="00081F34" w:rsidRDefault="009A54B8" w:rsidP="009A54B8">
      <w:pPr>
        <w:rPr>
          <w:sz w:val="22"/>
        </w:rPr>
      </w:pPr>
    </w:p>
    <w:p w14:paraId="0628FA1D" w14:textId="77777777" w:rsidR="009A54B8" w:rsidRPr="00081F34" w:rsidRDefault="009A54B8" w:rsidP="009A54B8">
      <w:pPr>
        <w:rPr>
          <w:b/>
          <w:sz w:val="22"/>
        </w:rPr>
      </w:pPr>
      <w:r w:rsidRPr="00081F34">
        <w:rPr>
          <w:b/>
          <w:sz w:val="22"/>
        </w:rPr>
        <w:t>Values &amp; Ethics</w:t>
      </w:r>
    </w:p>
    <w:p w14:paraId="6D0FCB47" w14:textId="77777777" w:rsidR="009A54B8" w:rsidRPr="00081F34" w:rsidRDefault="009A54B8" w:rsidP="009A54B8">
      <w:pPr>
        <w:numPr>
          <w:ilvl w:val="0"/>
          <w:numId w:val="20"/>
        </w:numPr>
        <w:rPr>
          <w:sz w:val="22"/>
        </w:rPr>
      </w:pPr>
      <w:r w:rsidRPr="00081F34">
        <w:rPr>
          <w:sz w:val="22"/>
        </w:rPr>
        <w:t>The presentation reflects an understanding of the values and ethics of psychologists.</w:t>
      </w:r>
    </w:p>
    <w:p w14:paraId="11F64B19" w14:textId="77777777"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r w:rsidRPr="00081F34">
        <w:rPr>
          <w:sz w:val="22"/>
        </w:rPr>
        <w:tab/>
        <w:t xml:space="preserve">   Not Applicable</w:t>
      </w:r>
    </w:p>
    <w:p w14:paraId="30ABAB91" w14:textId="77777777" w:rsidR="009A54B8" w:rsidRPr="00081F34" w:rsidRDefault="009A54B8" w:rsidP="009A54B8">
      <w:pPr>
        <w:rPr>
          <w:sz w:val="22"/>
        </w:rPr>
      </w:pPr>
      <w:r w:rsidRPr="00081F34">
        <w:rPr>
          <w:sz w:val="22"/>
        </w:rPr>
        <w:tab/>
        <w:t xml:space="preserve">     very weak</w:t>
      </w:r>
      <w:r w:rsidRPr="00081F34">
        <w:rPr>
          <w:sz w:val="22"/>
        </w:rPr>
        <w:tab/>
      </w:r>
      <w:r w:rsidRPr="00081F34">
        <w:rPr>
          <w:sz w:val="22"/>
        </w:rPr>
        <w:tab/>
        <w:t xml:space="preserve">       average</w:t>
      </w:r>
      <w:r w:rsidRPr="00081F34">
        <w:rPr>
          <w:sz w:val="22"/>
        </w:rPr>
        <w:tab/>
      </w:r>
      <w:r w:rsidRPr="00081F34">
        <w:rPr>
          <w:sz w:val="22"/>
        </w:rPr>
        <w:tab/>
        <w:t xml:space="preserve">    very strong</w:t>
      </w:r>
    </w:p>
    <w:p w14:paraId="44E196F8" w14:textId="77777777" w:rsidR="009A54B8" w:rsidRPr="00081F34" w:rsidRDefault="009A54B8" w:rsidP="009A54B8">
      <w:pPr>
        <w:ind w:left="1440"/>
        <w:rPr>
          <w:sz w:val="22"/>
        </w:rPr>
      </w:pPr>
    </w:p>
    <w:p w14:paraId="1D6971E7" w14:textId="77777777" w:rsidR="009A54B8" w:rsidRPr="00081F34" w:rsidRDefault="009A54B8" w:rsidP="009A54B8">
      <w:pPr>
        <w:rPr>
          <w:b/>
          <w:sz w:val="22"/>
        </w:rPr>
      </w:pPr>
      <w:r w:rsidRPr="00081F34">
        <w:rPr>
          <w:b/>
          <w:sz w:val="22"/>
        </w:rPr>
        <w:t>Methodology &amp; Research</w:t>
      </w:r>
    </w:p>
    <w:p w14:paraId="71435B2B" w14:textId="77777777" w:rsidR="009A54B8" w:rsidRPr="00081F34" w:rsidRDefault="009A54B8" w:rsidP="009A54B8">
      <w:pPr>
        <w:numPr>
          <w:ilvl w:val="0"/>
          <w:numId w:val="20"/>
        </w:numPr>
        <w:rPr>
          <w:sz w:val="22"/>
        </w:rPr>
      </w:pPr>
      <w:r w:rsidRPr="00081F34">
        <w:rPr>
          <w:sz w:val="22"/>
        </w:rPr>
        <w:t xml:space="preserve">Presented research evidence was relevant and accurate. </w:t>
      </w:r>
    </w:p>
    <w:p w14:paraId="400D7FED" w14:textId="77777777"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p>
    <w:p w14:paraId="60F171F3" w14:textId="77777777" w:rsidR="009A54B8" w:rsidRPr="00081F34" w:rsidRDefault="009A54B8" w:rsidP="009A54B8">
      <w:pPr>
        <w:rPr>
          <w:sz w:val="22"/>
        </w:rPr>
      </w:pPr>
      <w:r w:rsidRPr="00081F34">
        <w:rPr>
          <w:sz w:val="22"/>
        </w:rPr>
        <w:tab/>
        <w:t xml:space="preserve">     very weak</w:t>
      </w:r>
      <w:r w:rsidRPr="00081F34">
        <w:rPr>
          <w:sz w:val="22"/>
        </w:rPr>
        <w:tab/>
      </w:r>
      <w:r w:rsidRPr="00081F34">
        <w:rPr>
          <w:sz w:val="22"/>
        </w:rPr>
        <w:tab/>
        <w:t xml:space="preserve">       average</w:t>
      </w:r>
      <w:r w:rsidRPr="00081F34">
        <w:rPr>
          <w:sz w:val="22"/>
        </w:rPr>
        <w:tab/>
      </w:r>
      <w:r w:rsidRPr="00081F34">
        <w:rPr>
          <w:sz w:val="22"/>
        </w:rPr>
        <w:tab/>
        <w:t xml:space="preserve">    very strong</w:t>
      </w:r>
    </w:p>
    <w:p w14:paraId="29AD62BA" w14:textId="77777777" w:rsidR="009A54B8" w:rsidRPr="00081F34" w:rsidRDefault="009A54B8" w:rsidP="009A54B8">
      <w:pPr>
        <w:numPr>
          <w:ilvl w:val="0"/>
          <w:numId w:val="20"/>
        </w:numPr>
        <w:rPr>
          <w:sz w:val="22"/>
        </w:rPr>
      </w:pPr>
      <w:r w:rsidRPr="00081F34">
        <w:rPr>
          <w:sz w:val="22"/>
        </w:rPr>
        <w:t>If an empirical project, the student clearly communicated the methodology.</w:t>
      </w:r>
    </w:p>
    <w:p w14:paraId="7BB13F2D" w14:textId="77777777"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r w:rsidRPr="00081F34">
        <w:rPr>
          <w:sz w:val="22"/>
        </w:rPr>
        <w:tab/>
      </w:r>
      <w:r w:rsidRPr="00081F34">
        <w:rPr>
          <w:sz w:val="22"/>
        </w:rPr>
        <w:tab/>
        <w:t>Not Applicable</w:t>
      </w:r>
    </w:p>
    <w:p w14:paraId="59D197BC" w14:textId="77777777" w:rsidR="009A54B8" w:rsidRPr="00081F34" w:rsidRDefault="009A54B8" w:rsidP="009A54B8">
      <w:pPr>
        <w:rPr>
          <w:sz w:val="22"/>
        </w:rPr>
      </w:pPr>
      <w:r w:rsidRPr="00081F34">
        <w:rPr>
          <w:sz w:val="22"/>
        </w:rPr>
        <w:tab/>
        <w:t xml:space="preserve">     very weak</w:t>
      </w:r>
      <w:r w:rsidRPr="00081F34">
        <w:rPr>
          <w:sz w:val="22"/>
        </w:rPr>
        <w:tab/>
      </w:r>
      <w:r w:rsidRPr="00081F34">
        <w:rPr>
          <w:sz w:val="22"/>
        </w:rPr>
        <w:tab/>
        <w:t xml:space="preserve">       average</w:t>
      </w:r>
      <w:r w:rsidRPr="00081F34">
        <w:rPr>
          <w:sz w:val="22"/>
        </w:rPr>
        <w:tab/>
      </w:r>
      <w:r w:rsidRPr="00081F34">
        <w:rPr>
          <w:sz w:val="22"/>
        </w:rPr>
        <w:tab/>
        <w:t xml:space="preserve">    very strong</w:t>
      </w:r>
    </w:p>
    <w:p w14:paraId="58B6E0D6" w14:textId="77777777" w:rsidR="009A54B8" w:rsidRPr="00081F34" w:rsidRDefault="009A54B8" w:rsidP="009A54B8">
      <w:pPr>
        <w:ind w:left="1440"/>
        <w:rPr>
          <w:sz w:val="22"/>
        </w:rPr>
      </w:pPr>
    </w:p>
    <w:p w14:paraId="7ADC4DE7" w14:textId="77777777" w:rsidR="009A54B8" w:rsidRPr="00081F34" w:rsidRDefault="009A54B8" w:rsidP="009A54B8">
      <w:pPr>
        <w:numPr>
          <w:ilvl w:val="0"/>
          <w:numId w:val="20"/>
        </w:numPr>
        <w:rPr>
          <w:sz w:val="22"/>
        </w:rPr>
      </w:pPr>
      <w:r w:rsidRPr="00081F34">
        <w:rPr>
          <w:sz w:val="22"/>
        </w:rPr>
        <w:t>If an empirical project, the student highlighted and explained key findings.</w:t>
      </w:r>
    </w:p>
    <w:p w14:paraId="70A580CA" w14:textId="77777777"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r w:rsidRPr="00081F34">
        <w:rPr>
          <w:sz w:val="22"/>
        </w:rPr>
        <w:tab/>
      </w:r>
      <w:r w:rsidRPr="00081F34">
        <w:rPr>
          <w:sz w:val="22"/>
        </w:rPr>
        <w:tab/>
        <w:t>Not Applicable</w:t>
      </w:r>
    </w:p>
    <w:p w14:paraId="184AB88D" w14:textId="77777777" w:rsidR="009A54B8" w:rsidRPr="00081F34" w:rsidRDefault="009A54B8" w:rsidP="009A54B8">
      <w:pPr>
        <w:rPr>
          <w:sz w:val="22"/>
        </w:rPr>
      </w:pPr>
      <w:r w:rsidRPr="00081F34">
        <w:rPr>
          <w:sz w:val="22"/>
        </w:rPr>
        <w:tab/>
        <w:t xml:space="preserve">     very weak</w:t>
      </w:r>
      <w:r w:rsidRPr="00081F34">
        <w:rPr>
          <w:sz w:val="22"/>
        </w:rPr>
        <w:tab/>
      </w:r>
      <w:r w:rsidRPr="00081F34">
        <w:rPr>
          <w:sz w:val="22"/>
        </w:rPr>
        <w:tab/>
        <w:t xml:space="preserve">       average</w:t>
      </w:r>
      <w:r w:rsidRPr="00081F34">
        <w:rPr>
          <w:sz w:val="22"/>
        </w:rPr>
        <w:tab/>
      </w:r>
      <w:r w:rsidRPr="00081F34">
        <w:rPr>
          <w:sz w:val="22"/>
        </w:rPr>
        <w:tab/>
        <w:t xml:space="preserve">    very strong</w:t>
      </w:r>
    </w:p>
    <w:p w14:paraId="0596B3BF" w14:textId="77777777" w:rsidR="009A54B8" w:rsidRPr="00081F34" w:rsidRDefault="009A54B8" w:rsidP="009A54B8">
      <w:pPr>
        <w:ind w:left="360"/>
        <w:rPr>
          <w:sz w:val="22"/>
        </w:rPr>
      </w:pPr>
    </w:p>
    <w:p w14:paraId="017A548C" w14:textId="77777777" w:rsidR="009A54B8" w:rsidRPr="00081F34" w:rsidRDefault="009A54B8" w:rsidP="009A54B8">
      <w:pPr>
        <w:rPr>
          <w:b/>
          <w:sz w:val="22"/>
        </w:rPr>
      </w:pPr>
      <w:r w:rsidRPr="00081F34">
        <w:rPr>
          <w:b/>
          <w:sz w:val="22"/>
        </w:rPr>
        <w:t>Diversity</w:t>
      </w:r>
    </w:p>
    <w:p w14:paraId="4D0A2E23" w14:textId="77777777" w:rsidR="009A54B8" w:rsidRPr="00081F34" w:rsidRDefault="009A54B8" w:rsidP="009A54B8">
      <w:pPr>
        <w:numPr>
          <w:ilvl w:val="0"/>
          <w:numId w:val="20"/>
        </w:numPr>
        <w:rPr>
          <w:sz w:val="22"/>
        </w:rPr>
      </w:pPr>
      <w:r w:rsidRPr="00081F34">
        <w:rPr>
          <w:sz w:val="22"/>
        </w:rPr>
        <w:t>The presentation reflected understanding of the diversity issues relevant to the student’s topic.</w:t>
      </w:r>
    </w:p>
    <w:p w14:paraId="1A98E629" w14:textId="77777777"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r w:rsidRPr="00081F34">
        <w:rPr>
          <w:sz w:val="22"/>
        </w:rPr>
        <w:tab/>
      </w:r>
      <w:r w:rsidRPr="00081F34">
        <w:rPr>
          <w:sz w:val="22"/>
        </w:rPr>
        <w:tab/>
        <w:t>Not Applicable</w:t>
      </w:r>
    </w:p>
    <w:p w14:paraId="76C271FB" w14:textId="77777777" w:rsidR="009A54B8" w:rsidRDefault="009A54B8" w:rsidP="009A54B8">
      <w:pPr>
        <w:rPr>
          <w:sz w:val="22"/>
        </w:rPr>
      </w:pPr>
      <w:r w:rsidRPr="00081F34">
        <w:rPr>
          <w:sz w:val="22"/>
        </w:rPr>
        <w:tab/>
        <w:t xml:space="preserve">     very weak</w:t>
      </w:r>
      <w:r w:rsidRPr="00081F34">
        <w:rPr>
          <w:sz w:val="22"/>
        </w:rPr>
        <w:tab/>
      </w:r>
      <w:r w:rsidRPr="00081F34">
        <w:rPr>
          <w:sz w:val="22"/>
        </w:rPr>
        <w:tab/>
        <w:t xml:space="preserve">       average</w:t>
      </w:r>
      <w:r w:rsidRPr="00081F34">
        <w:rPr>
          <w:sz w:val="22"/>
        </w:rPr>
        <w:tab/>
      </w:r>
      <w:r w:rsidRPr="00081F34">
        <w:rPr>
          <w:sz w:val="22"/>
        </w:rPr>
        <w:tab/>
        <w:t xml:space="preserve">    very strong</w:t>
      </w:r>
    </w:p>
    <w:p w14:paraId="1C9BA824" w14:textId="77777777" w:rsidR="009A54B8" w:rsidRDefault="009A54B8" w:rsidP="009A54B8">
      <w:pPr>
        <w:rPr>
          <w:sz w:val="22"/>
        </w:rPr>
      </w:pPr>
    </w:p>
    <w:p w14:paraId="1A8E2D98" w14:textId="77777777" w:rsidR="009A54B8" w:rsidRDefault="009A54B8" w:rsidP="009A54B8">
      <w:pPr>
        <w:rPr>
          <w:sz w:val="22"/>
        </w:rPr>
      </w:pPr>
    </w:p>
    <w:p w14:paraId="5B77E2C1" w14:textId="77777777" w:rsidR="004872FF" w:rsidRDefault="009A54B8" w:rsidP="009A54B8">
      <w:pPr>
        <w:rPr>
          <w:sz w:val="22"/>
        </w:rPr>
      </w:pPr>
      <w:r>
        <w:rPr>
          <w:sz w:val="22"/>
        </w:rPr>
        <w:t>(from Lawrence University, Appleton, WI)</w:t>
      </w:r>
    </w:p>
    <w:p w14:paraId="2142EB58" w14:textId="77777777" w:rsidR="004872FF" w:rsidRDefault="004872FF" w:rsidP="009A54B8">
      <w:pPr>
        <w:rPr>
          <w:sz w:val="22"/>
        </w:rPr>
      </w:pPr>
    </w:p>
    <w:p w14:paraId="1F4B51A8" w14:textId="77777777" w:rsidR="004872FF" w:rsidRDefault="004872FF" w:rsidP="009A54B8">
      <w:pPr>
        <w:rPr>
          <w:sz w:val="22"/>
        </w:rPr>
      </w:pPr>
    </w:p>
    <w:p w14:paraId="278866D6" w14:textId="77777777" w:rsidR="004872FF" w:rsidRDefault="004872FF" w:rsidP="009A54B8">
      <w:pPr>
        <w:rPr>
          <w:sz w:val="22"/>
        </w:rPr>
      </w:pPr>
    </w:p>
    <w:p w14:paraId="36DDDA30" w14:textId="77777777" w:rsidR="004872FF" w:rsidRDefault="004872FF" w:rsidP="009A54B8">
      <w:pPr>
        <w:rPr>
          <w:sz w:val="22"/>
        </w:rPr>
      </w:pPr>
    </w:p>
    <w:p w14:paraId="780830FC" w14:textId="77777777" w:rsidR="004872FF" w:rsidRDefault="004872FF" w:rsidP="009A54B8">
      <w:pPr>
        <w:rPr>
          <w:sz w:val="22"/>
        </w:rPr>
      </w:pPr>
    </w:p>
    <w:p w14:paraId="6D4C33AC" w14:textId="77777777" w:rsidR="009A54B8" w:rsidRPr="00081F34" w:rsidRDefault="009A54B8" w:rsidP="009A54B8">
      <w:pPr>
        <w:rPr>
          <w:sz w:val="22"/>
        </w:rPr>
      </w:pPr>
    </w:p>
    <w:p w14:paraId="1F673EB4" w14:textId="77777777" w:rsidR="009A54B8" w:rsidRDefault="009A54B8" w:rsidP="009A54B8">
      <w:pPr>
        <w:pStyle w:val="Title"/>
        <w:jc w:val="left"/>
      </w:pPr>
    </w:p>
    <w:p w14:paraId="56DD448C" w14:textId="77777777" w:rsidR="009A54B8" w:rsidRDefault="009A54B8" w:rsidP="009A54B8">
      <w:pPr>
        <w:pStyle w:val="Title"/>
        <w:jc w:val="left"/>
      </w:pPr>
    </w:p>
    <w:p w14:paraId="019BA1CE" w14:textId="77777777" w:rsidR="009A54B8" w:rsidRDefault="00AC003D" w:rsidP="009A54B8">
      <w:r>
        <w:br w:type="page"/>
      </w:r>
      <w:r w:rsidR="009A54B8">
        <w:t xml:space="preserve">. </w:t>
      </w:r>
    </w:p>
    <w:tbl>
      <w:tblPr>
        <w:tblW w:w="18586" w:type="dxa"/>
        <w:tblInd w:w="76" w:type="dxa"/>
        <w:tblLayout w:type="fixed"/>
        <w:tblCellMar>
          <w:left w:w="10" w:type="dxa"/>
          <w:right w:w="10" w:type="dxa"/>
        </w:tblCellMar>
        <w:tblLook w:val="0000" w:firstRow="0" w:lastRow="0" w:firstColumn="0" w:lastColumn="0" w:noHBand="0" w:noVBand="0"/>
      </w:tblPr>
      <w:tblGrid>
        <w:gridCol w:w="16704"/>
        <w:gridCol w:w="1882"/>
      </w:tblGrid>
      <w:tr w:rsidR="009A54B8" w14:paraId="6A608EA9" w14:textId="77777777">
        <w:trPr>
          <w:trHeight w:val="311"/>
        </w:trPr>
        <w:tc>
          <w:tcPr>
            <w:tcW w:w="16704" w:type="dxa"/>
            <w:tcMar>
              <w:top w:w="0" w:type="dxa"/>
              <w:left w:w="0" w:type="dxa"/>
              <w:bottom w:w="0" w:type="dxa"/>
              <w:right w:w="0" w:type="dxa"/>
            </w:tcMar>
          </w:tcPr>
          <w:p w14:paraId="4A9B0160" w14:textId="77777777" w:rsidR="009A54B8" w:rsidRDefault="009A54B8">
            <w:pPr>
              <w:pStyle w:val="Standard"/>
              <w:snapToGrid w:val="0"/>
              <w:jc w:val="center"/>
              <w:rPr>
                <w:rFonts w:ascii="Garamond" w:hAnsi="Garamond"/>
                <w:b/>
                <w:smallCaps/>
                <w:color w:val="000000"/>
                <w:sz w:val="40"/>
                <w:szCs w:val="40"/>
              </w:rPr>
            </w:pPr>
            <w:r>
              <w:rPr>
                <w:rFonts w:ascii="Garamond" w:hAnsi="Garamond"/>
                <w:b/>
                <w:smallCaps/>
                <w:color w:val="000000"/>
                <w:sz w:val="40"/>
                <w:szCs w:val="40"/>
              </w:rPr>
              <w:t>Oral Communication VALUE Rubric</w:t>
            </w:r>
          </w:p>
          <w:p w14:paraId="379099CA" w14:textId="77777777" w:rsidR="009A54B8" w:rsidRDefault="009A54B8">
            <w:pPr>
              <w:pStyle w:val="Standard"/>
              <w:snapToGrid w:val="0"/>
              <w:jc w:val="center"/>
            </w:pPr>
            <w:r>
              <w:rPr>
                <w:rFonts w:ascii="Garamond" w:eastAsia="Helvetica" w:hAnsi="Garamond" w:cs="Helvetica"/>
                <w:i/>
                <w:lang w:val="en-US"/>
              </w:rPr>
              <w:t>f</w:t>
            </w:r>
            <w:r>
              <w:rPr>
                <w:rFonts w:ascii="Garamond" w:eastAsia="Helvetica" w:hAnsi="Garamond" w:cs="Helvetica"/>
                <w:i/>
              </w:rPr>
              <w:t>or more information</w:t>
            </w:r>
            <w:r>
              <w:rPr>
                <w:rFonts w:ascii="Garamond" w:eastAsia="Helvetica" w:hAnsi="Garamond" w:cs="Helvetica"/>
                <w:i/>
                <w:lang w:val="en-US"/>
              </w:rPr>
              <w:t xml:space="preserve">, </w:t>
            </w:r>
            <w:r>
              <w:rPr>
                <w:rFonts w:ascii="Garamond" w:eastAsia="Helvetica" w:hAnsi="Garamond" w:cs="Helvetica"/>
                <w:i/>
              </w:rPr>
              <w:t xml:space="preserve">please </w:t>
            </w:r>
            <w:r>
              <w:rPr>
                <w:rFonts w:ascii="Garamond" w:eastAsia="Helvetica" w:hAnsi="Garamond" w:cs="Helvetica"/>
                <w:i/>
                <w:lang w:val="en-US"/>
              </w:rPr>
              <w:t>contact value</w:t>
            </w:r>
            <w:r>
              <w:rPr>
                <w:rFonts w:ascii="Garamond" w:eastAsia="Helvetica" w:hAnsi="Garamond" w:cs="Helvetica"/>
                <w:i/>
              </w:rPr>
              <w:t>@</w:t>
            </w:r>
            <w:r>
              <w:rPr>
                <w:rFonts w:ascii="Garamond" w:eastAsia="Helvetica" w:hAnsi="Garamond" w:cs="Helvetica"/>
                <w:i/>
                <w:lang w:val="en-US"/>
              </w:rPr>
              <w:t>aacu.org</w:t>
            </w:r>
          </w:p>
        </w:tc>
        <w:tc>
          <w:tcPr>
            <w:tcW w:w="1882" w:type="dxa"/>
            <w:tcMar>
              <w:top w:w="0" w:type="dxa"/>
              <w:left w:w="0" w:type="dxa"/>
              <w:bottom w:w="0" w:type="dxa"/>
              <w:right w:w="0" w:type="dxa"/>
            </w:tcMar>
          </w:tcPr>
          <w:p w14:paraId="4168BE7D" w14:textId="77777777" w:rsidR="009A54B8" w:rsidRDefault="009A54B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0"/>
                <w:szCs w:val="20"/>
              </w:rPr>
            </w:pPr>
            <w:r>
              <w:rPr>
                <w:rFonts w:ascii="Garamond" w:hAnsi="Garamond"/>
                <w:noProof/>
                <w:sz w:val="20"/>
                <w:szCs w:val="20"/>
                <w:lang w:val="en-US"/>
              </w:rPr>
              <w:drawing>
                <wp:inline distT="0" distB="0" distL="0" distR="0" wp14:anchorId="5E52A46D" wp14:editId="237ACC21">
                  <wp:extent cx="1143000" cy="596900"/>
                  <wp:effectExtent l="2540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43000" cy="596900"/>
                          </a:xfrm>
                          <a:prstGeom prst="rect">
                            <a:avLst/>
                          </a:prstGeom>
                          <a:solidFill>
                            <a:srgbClr val="FFFFFF"/>
                          </a:solidFill>
                          <a:ln w="9525">
                            <a:noFill/>
                            <a:miter lim="800000"/>
                            <a:headEnd/>
                            <a:tailEnd/>
                          </a:ln>
                        </pic:spPr>
                      </pic:pic>
                    </a:graphicData>
                  </a:graphic>
                </wp:inline>
              </w:drawing>
            </w:r>
          </w:p>
        </w:tc>
      </w:tr>
    </w:tbl>
    <w:p w14:paraId="154DCDA7" w14:textId="77777777" w:rsidR="009A54B8" w:rsidRDefault="009A54B8" w:rsidP="009A54B8">
      <w:pPr>
        <w:pStyle w:val="Standard"/>
        <w:rPr>
          <w:rFonts w:ascii="Garamond" w:hAnsi="Garamond"/>
        </w:rPr>
      </w:pPr>
    </w:p>
    <w:p w14:paraId="64D7347E" w14:textId="77777777" w:rsidR="009A54B8" w:rsidRDefault="009A54B8" w:rsidP="009A54B8">
      <w:pPr>
        <w:pStyle w:val="Standard"/>
        <w:rPr>
          <w:rFonts w:ascii="Garamond" w:hAnsi="Garamond"/>
        </w:rPr>
      </w:pPr>
      <w:r>
        <w:rPr>
          <w:rFonts w:ascii="Garamond" w:hAnsi="Garamond"/>
        </w:rPr>
        <w:tab/>
        <w:t>The VALUE rubrics were developed by teams of faculty experts representing colleges and universities across the United States through a process that examined many existing campus rubrics and related documents for each learning outcome and incorporated additional feedback from faculty. The rubrics articulate fundamental criteria for each learning outcome, with performance descriptors demonstrating progressively more sophisticated levels of attainment. The rubrics are intended for institutional-level use in evaluating and discussing student learning, not for grading. The core expectations articulated in all 15 of the VALUE rubrics can and should be translated into the language of individual campuses, disciplines, and even courses.  The utility of the VALUE rubrics is to position learning at all undergraduate levels within a basic framework of expectations such that evidence of learning can by shared nationally through a common dialog and understanding of student success.</w:t>
      </w:r>
    </w:p>
    <w:p w14:paraId="2F05A1C9" w14:textId="77777777" w:rsidR="009A54B8" w:rsidRDefault="00AC003D" w:rsidP="009A54B8">
      <w:pPr>
        <w:pStyle w:val="Standard"/>
      </w:pPr>
      <w:r>
        <w:rPr>
          <w:rFonts w:ascii="Garamond" w:hAnsi="Garamond"/>
        </w:rPr>
        <w:tab/>
      </w:r>
      <w:r w:rsidR="009A54B8">
        <w:rPr>
          <w:rFonts w:ascii="Garamond" w:hAnsi="Garamond"/>
          <w:i/>
          <w:iCs/>
        </w:rPr>
        <w:t>The type of oral communication most likely to be included in a collection of student work is an oral presentation and therefore is the focus for the application of this rubric.</w:t>
      </w:r>
    </w:p>
    <w:p w14:paraId="061C77F6" w14:textId="77777777" w:rsidR="009A54B8" w:rsidRDefault="009A54B8" w:rsidP="009A54B8">
      <w:pPr>
        <w:pStyle w:val="Standard"/>
        <w:rPr>
          <w:rFonts w:ascii="Garamond" w:hAnsi="Garamond"/>
          <w:i/>
          <w:iCs/>
        </w:rPr>
      </w:pPr>
    </w:p>
    <w:p w14:paraId="0D32C6FA" w14:textId="77777777" w:rsidR="009A54B8" w:rsidRDefault="009A54B8" w:rsidP="009A54B8">
      <w:pPr>
        <w:pStyle w:val="Standard"/>
        <w:jc w:val="center"/>
        <w:rPr>
          <w:rFonts w:ascii="Garamond" w:hAnsi="Garamond"/>
          <w:b/>
          <w:bCs/>
        </w:rPr>
      </w:pPr>
      <w:r>
        <w:rPr>
          <w:rFonts w:ascii="Garamond" w:hAnsi="Garamond"/>
          <w:b/>
          <w:bCs/>
        </w:rPr>
        <w:t>Definition</w:t>
      </w:r>
    </w:p>
    <w:p w14:paraId="7008178B" w14:textId="77777777" w:rsidR="009A54B8" w:rsidRDefault="009A54B8" w:rsidP="009A54B8">
      <w:pPr>
        <w:pStyle w:val="Standard"/>
        <w:rPr>
          <w:rFonts w:ascii="Garamond" w:hAnsi="Garamond"/>
        </w:rPr>
      </w:pPr>
      <w:r>
        <w:rPr>
          <w:rFonts w:ascii="Garamond" w:hAnsi="Garamond"/>
        </w:rPr>
        <w:tab/>
        <w:t>Oral communication is a prepared, purposeful presentation designed to increase knowledge, to foster understanding, or to promote change in the listeners' attitudes, values, beliefs, or behaviors.</w:t>
      </w:r>
    </w:p>
    <w:p w14:paraId="017C2E94" w14:textId="77777777" w:rsidR="009A54B8" w:rsidRDefault="009A54B8" w:rsidP="009A54B8">
      <w:pPr>
        <w:pStyle w:val="Standard"/>
        <w:rPr>
          <w:rFonts w:ascii="Garamond" w:hAnsi="Garamond"/>
        </w:rPr>
      </w:pPr>
    </w:p>
    <w:p w14:paraId="141399A4" w14:textId="77777777" w:rsidR="009A54B8" w:rsidRDefault="009A54B8" w:rsidP="009A54B8">
      <w:pPr>
        <w:pStyle w:val="Standard"/>
        <w:jc w:val="center"/>
        <w:rPr>
          <w:rFonts w:ascii="Garamond" w:hAnsi="Garamond"/>
          <w:b/>
          <w:bCs/>
        </w:rPr>
      </w:pPr>
      <w:r>
        <w:rPr>
          <w:rFonts w:ascii="Garamond" w:hAnsi="Garamond"/>
          <w:b/>
          <w:bCs/>
        </w:rPr>
        <w:t>Framing Language</w:t>
      </w:r>
    </w:p>
    <w:p w14:paraId="4EF9F30F" w14:textId="77777777" w:rsidR="009A54B8" w:rsidRDefault="009A54B8" w:rsidP="009A54B8">
      <w:pPr>
        <w:pStyle w:val="Standard"/>
        <w:rPr>
          <w:rFonts w:ascii="Garamond" w:hAnsi="Garamond"/>
        </w:rPr>
      </w:pPr>
      <w:r>
        <w:rPr>
          <w:rFonts w:ascii="Garamond" w:hAnsi="Garamond"/>
        </w:rPr>
        <w:tab/>
        <w:t>Oral communication takes many forms.  This rubric is specifically designed to evaluate oral presentations of a single speaker at a time and is best applied to live or video-recorded presentations.  For panel presentations or group presentations, it is recommended that each speaker be evaluated separately.  This rubric best applies to presentations of sufficient length such that a central message is conveyed, supported by one or more forms of supporting materials and includes a purposeful organization. An oral answer to a single question not designed to be structured into a presentation does not readily apply to this rubric.</w:t>
      </w:r>
    </w:p>
    <w:p w14:paraId="65EE5A8E" w14:textId="77777777" w:rsidR="009A54B8" w:rsidRDefault="009A54B8" w:rsidP="009A54B8">
      <w:pPr>
        <w:pStyle w:val="Standard"/>
        <w:rPr>
          <w:rFonts w:ascii="Garamond" w:hAnsi="Garamond"/>
        </w:rPr>
      </w:pPr>
    </w:p>
    <w:p w14:paraId="0414E27D" w14:textId="77777777" w:rsidR="009A54B8" w:rsidRDefault="009A54B8" w:rsidP="009A54B8">
      <w:pPr>
        <w:pStyle w:val="Standard"/>
        <w:jc w:val="center"/>
        <w:rPr>
          <w:rFonts w:ascii="Garamond" w:hAnsi="Garamond"/>
          <w:b/>
          <w:bCs/>
        </w:rPr>
      </w:pPr>
      <w:r>
        <w:rPr>
          <w:rFonts w:ascii="Garamond" w:hAnsi="Garamond"/>
          <w:b/>
          <w:bCs/>
        </w:rPr>
        <w:t>Glossary</w:t>
      </w:r>
    </w:p>
    <w:p w14:paraId="30419447" w14:textId="77777777" w:rsidR="009A54B8" w:rsidRDefault="009A54B8" w:rsidP="009A54B8">
      <w:pPr>
        <w:pStyle w:val="Standard"/>
        <w:jc w:val="center"/>
        <w:rPr>
          <w:rFonts w:ascii="Garamond" w:hAnsi="Garamond"/>
          <w:i/>
          <w:iCs/>
        </w:rPr>
      </w:pPr>
      <w:r>
        <w:rPr>
          <w:rFonts w:ascii="Garamond" w:hAnsi="Garamond"/>
          <w:i/>
          <w:iCs/>
        </w:rPr>
        <w:t>The definitions that follow were developed to clarify terms and concepts used in this rubric only.</w:t>
      </w:r>
    </w:p>
    <w:p w14:paraId="5EE22A7A" w14:textId="77777777" w:rsidR="009A54B8" w:rsidRDefault="009A54B8" w:rsidP="009A54B8">
      <w:pPr>
        <w:pStyle w:val="Standard"/>
        <w:numPr>
          <w:ilvl w:val="0"/>
          <w:numId w:val="18"/>
        </w:numPr>
        <w:rPr>
          <w:rFonts w:ascii="Garamond" w:hAnsi="Garamond"/>
        </w:rPr>
      </w:pPr>
      <w:r>
        <w:rPr>
          <w:rFonts w:ascii="Garamond" w:hAnsi="Garamond"/>
        </w:rPr>
        <w:t>Central message:  The main point/thesis/"bottom line"/"take-away" of a presentation.  A clear central message is easy to identify; a compelling central message is also vivid and memorable.</w:t>
      </w:r>
    </w:p>
    <w:p w14:paraId="25847D7D" w14:textId="77777777" w:rsidR="009A54B8" w:rsidRDefault="009A54B8" w:rsidP="009A54B8">
      <w:pPr>
        <w:pStyle w:val="Standard"/>
        <w:numPr>
          <w:ilvl w:val="0"/>
          <w:numId w:val="18"/>
        </w:numPr>
        <w:rPr>
          <w:rFonts w:ascii="Garamond" w:hAnsi="Garamond"/>
        </w:rPr>
      </w:pPr>
      <w:r>
        <w:rPr>
          <w:rFonts w:ascii="Garamond" w:hAnsi="Garamond"/>
        </w:rPr>
        <w:t>Delivery techniques:  Posture, gestures, eye contact, and use of the voice.  Delivery techniques enhance the effectiveness of the presentation when the speaker stands and moves with authority, looks more often at the audience than at his/her speaking materials/notes, uses the voice expressively, and uses few vocal fillers ("um," "uh," "like," "you know," etc.).</w:t>
      </w:r>
    </w:p>
    <w:p w14:paraId="66CEDEDA" w14:textId="77777777" w:rsidR="009A54B8" w:rsidRDefault="009A54B8" w:rsidP="009A54B8">
      <w:pPr>
        <w:pStyle w:val="Standard"/>
        <w:numPr>
          <w:ilvl w:val="0"/>
          <w:numId w:val="18"/>
        </w:numPr>
        <w:rPr>
          <w:rFonts w:ascii="Garamond" w:hAnsi="Garamond"/>
        </w:rPr>
      </w:pPr>
      <w:r>
        <w:rPr>
          <w:rFonts w:ascii="Garamond" w:hAnsi="Garamond"/>
        </w:rPr>
        <w:t>Language:  Vocabulary, terminology, and sentence structure. Language that supports the effectiveness of a presentation is appropriate to the topic and audience, grammatical, clear, and free from bias. Language that enhances the effectiveness of a presentation is also vivid, imaginative, and expressive.</w:t>
      </w:r>
    </w:p>
    <w:p w14:paraId="2948451C" w14:textId="77777777" w:rsidR="009A54B8" w:rsidRDefault="009A54B8" w:rsidP="009A54B8">
      <w:pPr>
        <w:pStyle w:val="Standard"/>
        <w:numPr>
          <w:ilvl w:val="0"/>
          <w:numId w:val="19"/>
        </w:numPr>
        <w:rPr>
          <w:rFonts w:ascii="Garamond" w:hAnsi="Garamond"/>
        </w:rPr>
      </w:pPr>
      <w:r>
        <w:rPr>
          <w:rFonts w:ascii="Garamond" w:hAnsi="Garamond"/>
        </w:rPr>
        <w:t>Organization:  The grouping and sequencing of ideas and supporting material in a presentation. An organizational pattern that supports the effectiveness of a presentation typically includes an introduction, one or more identifiable sections in the body of the speech, and a conclusion. An organizational pattern that enhances the effectiveness of the presentation reflects a purposeful choice among possible alternatives, such as a chronological pattern, a problem-solution pattern, an analysis-of-parts pattern, etc., that makes the content of the presentation easier to follow and more likely to accomplish its purpose.</w:t>
      </w:r>
    </w:p>
    <w:p w14:paraId="54901CEF" w14:textId="77777777" w:rsidR="009A54B8" w:rsidRDefault="009A54B8" w:rsidP="009A54B8">
      <w:pPr>
        <w:pStyle w:val="Standard"/>
        <w:numPr>
          <w:ilvl w:val="0"/>
          <w:numId w:val="18"/>
        </w:numPr>
        <w:rPr>
          <w:rFonts w:ascii="Garamond" w:hAnsi="Garamond"/>
        </w:rPr>
      </w:pPr>
      <w:r>
        <w:rPr>
          <w:rFonts w:ascii="Garamond" w:hAnsi="Garamond"/>
        </w:rPr>
        <w:t>Supporting material:  Explanations, examples, illustrations, statistics, analogies, quotations from relevant authorities, and other kinds of information or analysis that supports the principal ideas of the presentation.  Supporting material is generally credible when it is relevant and derived from reliable and appropriate sources.  Supporting material is highly credible when it is also vivid and varied across the types listed above (e.g., a mix of examples, statistics, and references to authorities).  Supporting material may also serve the purpose of establishing the speakers credibility.  For example, in presenting a creative work such as a dramatic reading of Shakespeare, supporting evidence may not advance the ideas of Shakespeare, but rather serve to establish the speaker as a credible Shakespearean actor.</w:t>
      </w:r>
    </w:p>
    <w:p w14:paraId="37B2EDE4" w14:textId="77777777" w:rsidR="009A54B8" w:rsidRDefault="009A54B8" w:rsidP="009A54B8">
      <w:pPr>
        <w:pStyle w:val="Standard"/>
        <w:rPr>
          <w:rFonts w:ascii="Garamond" w:hAnsi="Garamond"/>
        </w:rPr>
        <w:sectPr w:rsidR="009A54B8">
          <w:headerReference w:type="even" r:id="rId9"/>
          <w:headerReference w:type="default" r:id="rId10"/>
          <w:pgSz w:w="20163" w:h="12240" w:orient="landscape"/>
          <w:pgMar w:top="720" w:right="720" w:bottom="720" w:left="720" w:header="720" w:footer="720" w:gutter="0"/>
          <w:cols w:space="720"/>
        </w:sectPr>
      </w:pPr>
    </w:p>
    <w:tbl>
      <w:tblPr>
        <w:tblW w:w="18586" w:type="dxa"/>
        <w:tblInd w:w="76" w:type="dxa"/>
        <w:tblLayout w:type="fixed"/>
        <w:tblCellMar>
          <w:left w:w="10" w:type="dxa"/>
          <w:right w:w="10" w:type="dxa"/>
        </w:tblCellMar>
        <w:tblLook w:val="0000" w:firstRow="0" w:lastRow="0" w:firstColumn="0" w:lastColumn="0" w:noHBand="0" w:noVBand="0"/>
      </w:tblPr>
      <w:tblGrid>
        <w:gridCol w:w="16704"/>
        <w:gridCol w:w="1882"/>
      </w:tblGrid>
      <w:tr w:rsidR="009A54B8" w14:paraId="2EB8C1E0" w14:textId="77777777">
        <w:trPr>
          <w:trHeight w:val="311"/>
        </w:trPr>
        <w:tc>
          <w:tcPr>
            <w:tcW w:w="16704" w:type="dxa"/>
            <w:tcMar>
              <w:top w:w="0" w:type="dxa"/>
              <w:left w:w="0" w:type="dxa"/>
              <w:bottom w:w="0" w:type="dxa"/>
              <w:right w:w="0" w:type="dxa"/>
            </w:tcMar>
          </w:tcPr>
          <w:p w14:paraId="665D2156" w14:textId="77777777" w:rsidR="009A54B8" w:rsidRDefault="009A54B8">
            <w:pPr>
              <w:pStyle w:val="Standard"/>
              <w:snapToGrid w:val="0"/>
              <w:jc w:val="center"/>
              <w:rPr>
                <w:rFonts w:ascii="Garamond" w:hAnsi="Garamond"/>
                <w:sz w:val="40"/>
                <w:szCs w:val="40"/>
              </w:rPr>
            </w:pPr>
            <w:r>
              <w:rPr>
                <w:rFonts w:ascii="Garamond" w:hAnsi="Garamond"/>
                <w:b/>
                <w:smallCaps/>
                <w:color w:val="000000"/>
                <w:sz w:val="40"/>
                <w:szCs w:val="40"/>
                <w:lang w:val="en-US"/>
              </w:rPr>
              <w:t xml:space="preserve">Oral Communication </w:t>
            </w:r>
            <w:r>
              <w:rPr>
                <w:rFonts w:ascii="Garamond" w:hAnsi="Garamond"/>
                <w:b/>
                <w:smallCaps/>
                <w:color w:val="000000"/>
                <w:sz w:val="40"/>
                <w:szCs w:val="40"/>
              </w:rPr>
              <w:t>VALUE Rubric</w:t>
            </w:r>
          </w:p>
          <w:p w14:paraId="1DD4D475" w14:textId="77777777" w:rsidR="009A54B8" w:rsidRDefault="009A54B8">
            <w:pPr>
              <w:pStyle w:val="Standard"/>
              <w:snapToGrid w:val="0"/>
              <w:jc w:val="center"/>
              <w:rPr>
                <w:rFonts w:ascii="Garamond" w:hAnsi="Garamond"/>
                <w:sz w:val="22"/>
                <w:szCs w:val="22"/>
              </w:rPr>
            </w:pPr>
            <w:r>
              <w:rPr>
                <w:rFonts w:ascii="Garamond" w:eastAsia="Helvetica" w:hAnsi="Garamond" w:cs="Helvetica"/>
                <w:i/>
                <w:sz w:val="22"/>
                <w:szCs w:val="22"/>
                <w:lang w:val="en-US"/>
              </w:rPr>
              <w:t>f</w:t>
            </w:r>
            <w:r>
              <w:rPr>
                <w:rFonts w:ascii="Garamond" w:eastAsia="Helvetica" w:hAnsi="Garamond" w:cs="Helvetica"/>
                <w:i/>
                <w:sz w:val="22"/>
                <w:szCs w:val="22"/>
              </w:rPr>
              <w:t>or more information</w:t>
            </w:r>
            <w:r>
              <w:rPr>
                <w:rFonts w:ascii="Garamond" w:eastAsia="Helvetica" w:hAnsi="Garamond" w:cs="Helvetica"/>
                <w:i/>
                <w:sz w:val="22"/>
                <w:szCs w:val="22"/>
                <w:lang w:val="en-US"/>
              </w:rPr>
              <w:t xml:space="preserve">, </w:t>
            </w:r>
            <w:r>
              <w:rPr>
                <w:rFonts w:ascii="Garamond" w:eastAsia="Helvetica" w:hAnsi="Garamond" w:cs="Helvetica"/>
                <w:i/>
                <w:sz w:val="22"/>
                <w:szCs w:val="22"/>
              </w:rPr>
              <w:t xml:space="preserve">please </w:t>
            </w:r>
            <w:r>
              <w:rPr>
                <w:rFonts w:ascii="Garamond" w:eastAsia="Helvetica" w:hAnsi="Garamond" w:cs="Helvetica"/>
                <w:i/>
                <w:sz w:val="22"/>
                <w:szCs w:val="22"/>
                <w:lang w:val="en-US"/>
              </w:rPr>
              <w:t>contact value</w:t>
            </w:r>
            <w:r>
              <w:rPr>
                <w:rFonts w:ascii="Garamond" w:eastAsia="Helvetica" w:hAnsi="Garamond" w:cs="Helvetica"/>
                <w:i/>
                <w:sz w:val="22"/>
                <w:szCs w:val="22"/>
              </w:rPr>
              <w:t>@</w:t>
            </w:r>
            <w:r>
              <w:rPr>
                <w:rFonts w:ascii="Garamond" w:eastAsia="Helvetica" w:hAnsi="Garamond" w:cs="Helvetica"/>
                <w:i/>
                <w:sz w:val="22"/>
                <w:szCs w:val="22"/>
                <w:lang w:val="en-US"/>
              </w:rPr>
              <w:t>aacu.org</w:t>
            </w:r>
          </w:p>
        </w:tc>
        <w:tc>
          <w:tcPr>
            <w:tcW w:w="1882" w:type="dxa"/>
            <w:tcMar>
              <w:top w:w="0" w:type="dxa"/>
              <w:left w:w="0" w:type="dxa"/>
              <w:bottom w:w="0" w:type="dxa"/>
              <w:right w:w="0" w:type="dxa"/>
            </w:tcMar>
          </w:tcPr>
          <w:p w14:paraId="08E75BC8" w14:textId="77777777" w:rsidR="009A54B8" w:rsidRDefault="009A54B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2"/>
                <w:szCs w:val="22"/>
              </w:rPr>
            </w:pPr>
            <w:r>
              <w:rPr>
                <w:rFonts w:ascii="Garamond" w:hAnsi="Garamond"/>
                <w:noProof/>
                <w:sz w:val="22"/>
                <w:szCs w:val="22"/>
                <w:lang w:val="en-US"/>
              </w:rPr>
              <w:drawing>
                <wp:inline distT="0" distB="0" distL="0" distR="0" wp14:anchorId="38F5E25C" wp14:editId="4BF9AB21">
                  <wp:extent cx="1143000" cy="596900"/>
                  <wp:effectExtent l="2540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143000" cy="596900"/>
                          </a:xfrm>
                          <a:prstGeom prst="rect">
                            <a:avLst/>
                          </a:prstGeom>
                          <a:solidFill>
                            <a:srgbClr val="FFFFFF"/>
                          </a:solidFill>
                          <a:ln w="9525">
                            <a:noFill/>
                            <a:miter lim="800000"/>
                            <a:headEnd/>
                            <a:tailEnd/>
                          </a:ln>
                        </pic:spPr>
                      </pic:pic>
                    </a:graphicData>
                  </a:graphic>
                </wp:inline>
              </w:drawing>
            </w:r>
          </w:p>
        </w:tc>
      </w:tr>
    </w:tbl>
    <w:p w14:paraId="00F28D63" w14:textId="77777777" w:rsidR="009A54B8" w:rsidRDefault="009A54B8" w:rsidP="009A54B8">
      <w:pPr>
        <w:pStyle w:val="Standard"/>
        <w:jc w:val="center"/>
        <w:rPr>
          <w:rFonts w:ascii="Garamond" w:hAnsi="Garamond"/>
          <w:i/>
          <w:iCs/>
          <w:sz w:val="22"/>
          <w:szCs w:val="22"/>
        </w:rPr>
      </w:pPr>
    </w:p>
    <w:p w14:paraId="7426CEBA" w14:textId="77777777" w:rsidR="009A54B8" w:rsidRDefault="009A54B8" w:rsidP="009A54B8">
      <w:pPr>
        <w:pStyle w:val="Standard"/>
        <w:jc w:val="center"/>
        <w:rPr>
          <w:rFonts w:ascii="Garamond" w:hAnsi="Garamond"/>
          <w:b/>
          <w:bCs/>
          <w:sz w:val="22"/>
          <w:szCs w:val="22"/>
        </w:rPr>
      </w:pPr>
      <w:r>
        <w:rPr>
          <w:rFonts w:ascii="Garamond" w:hAnsi="Garamond"/>
          <w:b/>
          <w:bCs/>
          <w:sz w:val="22"/>
          <w:szCs w:val="22"/>
        </w:rPr>
        <w:t>Definition</w:t>
      </w:r>
    </w:p>
    <w:p w14:paraId="0FD5A585" w14:textId="77777777" w:rsidR="009A54B8" w:rsidRDefault="009A54B8" w:rsidP="009A54B8">
      <w:pPr>
        <w:pStyle w:val="Standard"/>
        <w:rPr>
          <w:rFonts w:ascii="Garamond" w:hAnsi="Garamond"/>
          <w:sz w:val="22"/>
          <w:szCs w:val="22"/>
        </w:rPr>
      </w:pPr>
      <w:r>
        <w:rPr>
          <w:rFonts w:ascii="Garamond" w:hAnsi="Garamond"/>
          <w:sz w:val="22"/>
          <w:szCs w:val="22"/>
        </w:rPr>
        <w:tab/>
        <w:t>Oral communication is a prepared, purposeful presentation designed to increase knowledge, to foster understanding, or to promote change in the listeners' attitudes, values, beliefs, or behaviors.</w:t>
      </w:r>
    </w:p>
    <w:p w14:paraId="123B8635" w14:textId="77777777" w:rsidR="009A54B8" w:rsidRDefault="009A54B8" w:rsidP="009A54B8">
      <w:pPr>
        <w:pStyle w:val="Standard"/>
        <w:rPr>
          <w:rFonts w:ascii="Garamond" w:hAnsi="Garamond"/>
          <w:sz w:val="22"/>
          <w:szCs w:val="22"/>
        </w:rPr>
      </w:pPr>
    </w:p>
    <w:p w14:paraId="10985D26" w14:textId="77777777" w:rsidR="009A54B8" w:rsidRDefault="009A54B8" w:rsidP="009A54B8">
      <w:pPr>
        <w:pStyle w:val="Standard"/>
        <w:jc w:val="center"/>
        <w:rPr>
          <w:rFonts w:ascii="Garamond" w:hAnsi="Garamond"/>
          <w:i/>
          <w:iCs/>
          <w:sz w:val="22"/>
          <w:szCs w:val="22"/>
        </w:rPr>
      </w:pPr>
      <w:r>
        <w:rPr>
          <w:rFonts w:ascii="Garamond" w:hAnsi="Garamond"/>
          <w:i/>
          <w:iCs/>
          <w:sz w:val="22"/>
          <w:szCs w:val="22"/>
        </w:rPr>
        <w:t>Evaluators are encouraged to assign a zero to any work sample or collection of work that does not meet benchmark (cell one) level performance.</w:t>
      </w:r>
    </w:p>
    <w:p w14:paraId="403A2FA1" w14:textId="77777777" w:rsidR="009A54B8" w:rsidRDefault="009A54B8" w:rsidP="009A54B8">
      <w:pPr>
        <w:pStyle w:val="Standard"/>
        <w:jc w:val="center"/>
        <w:rPr>
          <w:rFonts w:ascii="Garamond" w:hAnsi="Garamond"/>
          <w:sz w:val="22"/>
          <w:szCs w:val="22"/>
        </w:rPr>
      </w:pPr>
    </w:p>
    <w:tbl>
      <w:tblPr>
        <w:tblW w:w="18723" w:type="dxa"/>
        <w:tblInd w:w="45" w:type="dxa"/>
        <w:tblLayout w:type="fixed"/>
        <w:tblCellMar>
          <w:left w:w="10" w:type="dxa"/>
          <w:right w:w="10" w:type="dxa"/>
        </w:tblCellMar>
        <w:tblLook w:val="0000" w:firstRow="0" w:lastRow="0" w:firstColumn="0" w:lastColumn="0" w:noHBand="0" w:noVBand="0"/>
      </w:tblPr>
      <w:tblGrid>
        <w:gridCol w:w="3743"/>
        <w:gridCol w:w="3745"/>
        <w:gridCol w:w="3744"/>
        <w:gridCol w:w="3745"/>
        <w:gridCol w:w="3746"/>
      </w:tblGrid>
      <w:tr w:rsidR="009A54B8" w14:paraId="6F3EC810" w14:textId="77777777">
        <w:tc>
          <w:tcPr>
            <w:tcW w:w="3744" w:type="dxa"/>
            <w:tcBorders>
              <w:top w:val="single" w:sz="2" w:space="0" w:color="000000"/>
              <w:left w:val="single" w:sz="2" w:space="0" w:color="000000"/>
              <w:bottom w:val="single" w:sz="2" w:space="0" w:color="000000"/>
            </w:tcBorders>
            <w:tcMar>
              <w:top w:w="55" w:type="dxa"/>
              <w:left w:w="55" w:type="dxa"/>
              <w:bottom w:w="55" w:type="dxa"/>
              <w:right w:w="55" w:type="dxa"/>
            </w:tcMar>
          </w:tcPr>
          <w:p w14:paraId="13420F81" w14:textId="77777777" w:rsidR="009A54B8" w:rsidRDefault="009A54B8">
            <w:pPr>
              <w:pStyle w:val="Standard"/>
              <w:jc w:val="center"/>
              <w:rPr>
                <w:rFonts w:ascii="Garamond" w:hAnsi="Garamond"/>
                <w:b/>
                <w:bCs/>
                <w:sz w:val="22"/>
                <w:szCs w:val="22"/>
              </w:rPr>
            </w:pPr>
          </w:p>
        </w:tc>
        <w:tc>
          <w:tcPr>
            <w:tcW w:w="3745" w:type="dxa"/>
            <w:tcBorders>
              <w:top w:val="single" w:sz="2" w:space="0" w:color="000000"/>
              <w:left w:val="single" w:sz="2" w:space="0" w:color="000000"/>
              <w:bottom w:val="single" w:sz="2" w:space="0" w:color="000000"/>
            </w:tcBorders>
            <w:tcMar>
              <w:top w:w="55" w:type="dxa"/>
              <w:left w:w="55" w:type="dxa"/>
              <w:bottom w:w="55" w:type="dxa"/>
              <w:right w:w="55" w:type="dxa"/>
            </w:tcMar>
          </w:tcPr>
          <w:p w14:paraId="68597D6F" w14:textId="77777777" w:rsidR="009A54B8" w:rsidRDefault="009A54B8">
            <w:pPr>
              <w:pStyle w:val="Standard"/>
              <w:jc w:val="center"/>
              <w:rPr>
                <w:rFonts w:ascii="Garamond" w:hAnsi="Garamond"/>
                <w:b/>
                <w:bCs/>
                <w:sz w:val="22"/>
                <w:szCs w:val="22"/>
              </w:rPr>
            </w:pPr>
            <w:r>
              <w:rPr>
                <w:rFonts w:ascii="Garamond" w:hAnsi="Garamond"/>
                <w:b/>
                <w:bCs/>
                <w:sz w:val="22"/>
                <w:szCs w:val="22"/>
              </w:rPr>
              <w:t>Capstone</w:t>
            </w:r>
          </w:p>
          <w:p w14:paraId="4C2E06A8" w14:textId="77777777" w:rsidR="009A54B8" w:rsidRDefault="009A54B8">
            <w:pPr>
              <w:pStyle w:val="Standard"/>
              <w:jc w:val="center"/>
              <w:rPr>
                <w:rFonts w:ascii="Garamond" w:hAnsi="Garamond"/>
                <w:sz w:val="22"/>
                <w:szCs w:val="22"/>
              </w:rPr>
            </w:pPr>
            <w:r>
              <w:rPr>
                <w:rFonts w:ascii="Garamond" w:hAnsi="Garamond"/>
                <w:sz w:val="22"/>
                <w:szCs w:val="22"/>
              </w:rPr>
              <w:t>4</w:t>
            </w:r>
          </w:p>
        </w:tc>
        <w:tc>
          <w:tcPr>
            <w:tcW w:w="7489"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1CC23420" w14:textId="77777777" w:rsidR="009A54B8" w:rsidRDefault="009A54B8">
            <w:pPr>
              <w:pStyle w:val="Standard"/>
              <w:jc w:val="center"/>
              <w:rPr>
                <w:rFonts w:ascii="Garamond" w:hAnsi="Garamond"/>
                <w:b/>
                <w:bCs/>
                <w:sz w:val="22"/>
                <w:szCs w:val="22"/>
              </w:rPr>
            </w:pPr>
            <w:r>
              <w:rPr>
                <w:rFonts w:ascii="Garamond" w:hAnsi="Garamond"/>
                <w:b/>
                <w:bCs/>
                <w:sz w:val="22"/>
                <w:szCs w:val="22"/>
              </w:rPr>
              <w:t>Milestones</w:t>
            </w:r>
          </w:p>
          <w:p w14:paraId="615661FA" w14:textId="77777777" w:rsidR="009A54B8" w:rsidRDefault="009A54B8">
            <w:pPr>
              <w:pStyle w:val="Standard"/>
              <w:jc w:val="center"/>
              <w:rPr>
                <w:rFonts w:ascii="Garamond" w:hAnsi="Garamond"/>
                <w:sz w:val="22"/>
                <w:szCs w:val="22"/>
              </w:rPr>
            </w:pPr>
            <w:r>
              <w:rPr>
                <w:rFonts w:ascii="Garamond" w:hAnsi="Garamond"/>
                <w:sz w:val="22"/>
                <w:szCs w:val="22"/>
              </w:rPr>
              <w:t>3</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2</w:t>
            </w:r>
          </w:p>
        </w:tc>
        <w:tc>
          <w:tcPr>
            <w:tcW w:w="37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9F9900F" w14:textId="77777777" w:rsidR="009A54B8" w:rsidRDefault="009A54B8">
            <w:pPr>
              <w:pStyle w:val="Standard"/>
              <w:jc w:val="center"/>
              <w:rPr>
                <w:rFonts w:ascii="Garamond" w:hAnsi="Garamond"/>
                <w:b/>
                <w:bCs/>
                <w:sz w:val="22"/>
                <w:szCs w:val="22"/>
              </w:rPr>
            </w:pPr>
            <w:r>
              <w:rPr>
                <w:rFonts w:ascii="Garamond" w:hAnsi="Garamond"/>
                <w:b/>
                <w:bCs/>
                <w:sz w:val="22"/>
                <w:szCs w:val="22"/>
              </w:rPr>
              <w:t>Benchmark</w:t>
            </w:r>
          </w:p>
          <w:p w14:paraId="061859EF" w14:textId="77777777" w:rsidR="009A54B8" w:rsidRDefault="009A54B8">
            <w:pPr>
              <w:pStyle w:val="Standard"/>
              <w:jc w:val="center"/>
              <w:rPr>
                <w:rFonts w:ascii="Garamond" w:hAnsi="Garamond"/>
                <w:sz w:val="22"/>
                <w:szCs w:val="22"/>
              </w:rPr>
            </w:pPr>
            <w:r>
              <w:rPr>
                <w:rFonts w:ascii="Garamond" w:hAnsi="Garamond"/>
                <w:sz w:val="22"/>
                <w:szCs w:val="22"/>
              </w:rPr>
              <w:t>1</w:t>
            </w:r>
          </w:p>
        </w:tc>
      </w:tr>
      <w:tr w:rsidR="009A54B8" w14:paraId="45E12D3D" w14:textId="77777777">
        <w:tc>
          <w:tcPr>
            <w:tcW w:w="3744" w:type="dxa"/>
            <w:tcBorders>
              <w:left w:val="single" w:sz="2" w:space="0" w:color="000000"/>
              <w:bottom w:val="single" w:sz="2" w:space="0" w:color="000000"/>
            </w:tcBorders>
            <w:tcMar>
              <w:top w:w="55" w:type="dxa"/>
              <w:left w:w="55" w:type="dxa"/>
              <w:bottom w:w="55" w:type="dxa"/>
              <w:right w:w="55" w:type="dxa"/>
            </w:tcMar>
          </w:tcPr>
          <w:p w14:paraId="568E0E63" w14:textId="77777777" w:rsidR="009A54B8" w:rsidRDefault="009A54B8">
            <w:pPr>
              <w:pStyle w:val="Standard"/>
              <w:rPr>
                <w:rFonts w:ascii="Garamond" w:hAnsi="Garamond"/>
                <w:b/>
                <w:bCs/>
                <w:sz w:val="22"/>
                <w:szCs w:val="22"/>
              </w:rPr>
            </w:pPr>
            <w:r>
              <w:rPr>
                <w:rFonts w:ascii="Garamond" w:hAnsi="Garamond"/>
                <w:b/>
                <w:bCs/>
                <w:sz w:val="22"/>
                <w:szCs w:val="22"/>
              </w:rPr>
              <w:t>Organization</w:t>
            </w:r>
          </w:p>
        </w:tc>
        <w:tc>
          <w:tcPr>
            <w:tcW w:w="3745" w:type="dxa"/>
            <w:tcBorders>
              <w:left w:val="single" w:sz="2" w:space="0" w:color="000000"/>
              <w:bottom w:val="single" w:sz="2" w:space="0" w:color="000000"/>
            </w:tcBorders>
            <w:tcMar>
              <w:top w:w="55" w:type="dxa"/>
              <w:left w:w="55" w:type="dxa"/>
              <w:bottom w:w="55" w:type="dxa"/>
              <w:right w:w="55" w:type="dxa"/>
            </w:tcMar>
          </w:tcPr>
          <w:p w14:paraId="22CAE07B" w14:textId="77777777" w:rsidR="009A54B8" w:rsidRDefault="009A54B8">
            <w:pPr>
              <w:pStyle w:val="Standard"/>
              <w:rPr>
                <w:rFonts w:ascii="Garamond" w:hAnsi="Garamond"/>
                <w:sz w:val="22"/>
                <w:szCs w:val="22"/>
              </w:rPr>
            </w:pPr>
            <w:r>
              <w:rPr>
                <w:rFonts w:ascii="Garamond" w:hAnsi="Garamond"/>
                <w:sz w:val="22"/>
                <w:szCs w:val="22"/>
              </w:rPr>
              <w:t>Organizational pattern (specific introduction and conclusion, sequenced material within the body, and transitions) is clearly and consistently observable and is skillful and makes the content of the presentation cohesive.</w:t>
            </w:r>
          </w:p>
        </w:tc>
        <w:tc>
          <w:tcPr>
            <w:tcW w:w="3744" w:type="dxa"/>
            <w:tcBorders>
              <w:left w:val="single" w:sz="2" w:space="0" w:color="000000"/>
              <w:bottom w:val="single" w:sz="2" w:space="0" w:color="000000"/>
            </w:tcBorders>
            <w:tcMar>
              <w:top w:w="55" w:type="dxa"/>
              <w:left w:w="55" w:type="dxa"/>
              <w:bottom w:w="55" w:type="dxa"/>
              <w:right w:w="55" w:type="dxa"/>
            </w:tcMar>
          </w:tcPr>
          <w:p w14:paraId="5C129377" w14:textId="77777777" w:rsidR="009A54B8" w:rsidRDefault="009A54B8">
            <w:pPr>
              <w:pStyle w:val="Standard"/>
              <w:rPr>
                <w:rFonts w:ascii="Garamond" w:hAnsi="Garamond"/>
                <w:sz w:val="22"/>
                <w:szCs w:val="22"/>
              </w:rPr>
            </w:pPr>
            <w:r>
              <w:rPr>
                <w:rFonts w:ascii="Garamond" w:hAnsi="Garamond"/>
                <w:sz w:val="22"/>
                <w:szCs w:val="22"/>
              </w:rPr>
              <w:t>Organizational pattern (specific introductio</w:t>
            </w:r>
            <w:r>
              <w:rPr>
                <w:rFonts w:ascii="Garamond" w:hAnsi="Garamond"/>
                <w:sz w:val="22"/>
                <w:szCs w:val="22"/>
                <w:lang w:val="en-US"/>
              </w:rPr>
              <w:t xml:space="preserve">n </w:t>
            </w:r>
            <w:r>
              <w:rPr>
                <w:rFonts w:ascii="Garamond" w:hAnsi="Garamond"/>
                <w:sz w:val="22"/>
                <w:szCs w:val="22"/>
              </w:rPr>
              <w:t>and conclusion, sequenced material within the body, and transitions) is clearly and consistently observable within the presentation.</w:t>
            </w:r>
          </w:p>
        </w:tc>
        <w:tc>
          <w:tcPr>
            <w:tcW w:w="3745" w:type="dxa"/>
            <w:tcBorders>
              <w:left w:val="single" w:sz="2" w:space="0" w:color="000000"/>
              <w:bottom w:val="single" w:sz="2" w:space="0" w:color="000000"/>
            </w:tcBorders>
            <w:tcMar>
              <w:top w:w="55" w:type="dxa"/>
              <w:left w:w="55" w:type="dxa"/>
              <w:bottom w:w="55" w:type="dxa"/>
              <w:right w:w="55" w:type="dxa"/>
            </w:tcMar>
          </w:tcPr>
          <w:p w14:paraId="4FB032B1" w14:textId="77777777" w:rsidR="009A54B8" w:rsidRDefault="009A54B8">
            <w:pPr>
              <w:pStyle w:val="Standard"/>
              <w:rPr>
                <w:rFonts w:ascii="Garamond" w:hAnsi="Garamond"/>
                <w:sz w:val="22"/>
                <w:szCs w:val="22"/>
              </w:rPr>
            </w:pPr>
            <w:r>
              <w:rPr>
                <w:rFonts w:ascii="Garamond" w:hAnsi="Garamond"/>
                <w:sz w:val="22"/>
                <w:szCs w:val="22"/>
              </w:rPr>
              <w:t>Organizational pattern (specific introduction and conclusion, sequenced material within the body, and transitions) is intermittently observable within the presentation.</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9590CF" w14:textId="77777777" w:rsidR="009A54B8" w:rsidRDefault="009A54B8">
            <w:pPr>
              <w:pStyle w:val="Standard"/>
              <w:rPr>
                <w:rFonts w:ascii="Garamond" w:hAnsi="Garamond"/>
                <w:sz w:val="22"/>
                <w:szCs w:val="22"/>
              </w:rPr>
            </w:pPr>
            <w:r>
              <w:rPr>
                <w:rFonts w:ascii="Garamond" w:hAnsi="Garamond"/>
                <w:sz w:val="22"/>
                <w:szCs w:val="22"/>
              </w:rPr>
              <w:t>Organizational pattern (specific introduction and conclusion, sequenced material within the body, and transitions) is not observable within the presentation.</w:t>
            </w:r>
          </w:p>
        </w:tc>
      </w:tr>
      <w:tr w:rsidR="009A54B8" w14:paraId="5348BCAA" w14:textId="77777777">
        <w:tc>
          <w:tcPr>
            <w:tcW w:w="3744" w:type="dxa"/>
            <w:tcBorders>
              <w:left w:val="single" w:sz="2" w:space="0" w:color="000000"/>
              <w:bottom w:val="single" w:sz="2" w:space="0" w:color="000000"/>
            </w:tcBorders>
            <w:tcMar>
              <w:top w:w="55" w:type="dxa"/>
              <w:left w:w="55" w:type="dxa"/>
              <w:bottom w:w="55" w:type="dxa"/>
              <w:right w:w="55" w:type="dxa"/>
            </w:tcMar>
          </w:tcPr>
          <w:p w14:paraId="6A916768" w14:textId="77777777" w:rsidR="009A54B8" w:rsidRDefault="009A54B8">
            <w:pPr>
              <w:pStyle w:val="Standard"/>
              <w:rPr>
                <w:rFonts w:ascii="Garamond" w:hAnsi="Garamond"/>
                <w:b/>
                <w:bCs/>
                <w:sz w:val="22"/>
                <w:szCs w:val="22"/>
              </w:rPr>
            </w:pPr>
            <w:r>
              <w:rPr>
                <w:rFonts w:ascii="Garamond" w:hAnsi="Garamond"/>
                <w:b/>
                <w:bCs/>
                <w:sz w:val="22"/>
                <w:szCs w:val="22"/>
              </w:rPr>
              <w:t>Language</w:t>
            </w:r>
          </w:p>
        </w:tc>
        <w:tc>
          <w:tcPr>
            <w:tcW w:w="3745" w:type="dxa"/>
            <w:tcBorders>
              <w:left w:val="single" w:sz="2" w:space="0" w:color="000000"/>
              <w:bottom w:val="single" w:sz="2" w:space="0" w:color="000000"/>
            </w:tcBorders>
            <w:tcMar>
              <w:top w:w="55" w:type="dxa"/>
              <w:left w:w="55" w:type="dxa"/>
              <w:bottom w:w="55" w:type="dxa"/>
              <w:right w:w="55" w:type="dxa"/>
            </w:tcMar>
          </w:tcPr>
          <w:p w14:paraId="6738F059" w14:textId="77777777" w:rsidR="009A54B8" w:rsidRDefault="009A54B8">
            <w:pPr>
              <w:pStyle w:val="Standard"/>
              <w:rPr>
                <w:rFonts w:ascii="Garamond" w:hAnsi="Garamond"/>
                <w:sz w:val="22"/>
                <w:szCs w:val="22"/>
              </w:rPr>
            </w:pPr>
            <w:r>
              <w:rPr>
                <w:rFonts w:ascii="Garamond" w:hAnsi="Garamond"/>
                <w:sz w:val="22"/>
                <w:szCs w:val="22"/>
              </w:rPr>
              <w:t>Language choices are imaginative, memorable</w:t>
            </w:r>
            <w:r>
              <w:rPr>
                <w:rFonts w:ascii="Garamond" w:hAnsi="Garamond"/>
                <w:sz w:val="22"/>
                <w:szCs w:val="22"/>
                <w:lang w:val="en-US"/>
              </w:rPr>
              <w:t>,</w:t>
            </w:r>
            <w:r>
              <w:rPr>
                <w:rFonts w:ascii="Garamond" w:hAnsi="Garamond"/>
                <w:sz w:val="22"/>
                <w:szCs w:val="22"/>
              </w:rPr>
              <w:t xml:space="preserve"> and compelling</w:t>
            </w:r>
            <w:r>
              <w:rPr>
                <w:rFonts w:ascii="Garamond" w:hAnsi="Garamond"/>
                <w:sz w:val="22"/>
                <w:szCs w:val="22"/>
                <w:lang w:val="en-US"/>
              </w:rPr>
              <w:t>,</w:t>
            </w:r>
            <w:r>
              <w:rPr>
                <w:rFonts w:ascii="Garamond" w:hAnsi="Garamond"/>
                <w:sz w:val="22"/>
                <w:szCs w:val="22"/>
              </w:rPr>
              <w:t xml:space="preserve"> and enhance the effectiveness of the presentation. Language in presentation is appropriate to audience.</w:t>
            </w:r>
          </w:p>
        </w:tc>
        <w:tc>
          <w:tcPr>
            <w:tcW w:w="3744" w:type="dxa"/>
            <w:tcBorders>
              <w:left w:val="single" w:sz="2" w:space="0" w:color="000000"/>
              <w:bottom w:val="single" w:sz="2" w:space="0" w:color="000000"/>
            </w:tcBorders>
            <w:tcMar>
              <w:top w:w="55" w:type="dxa"/>
              <w:left w:w="55" w:type="dxa"/>
              <w:bottom w:w="55" w:type="dxa"/>
              <w:right w:w="55" w:type="dxa"/>
            </w:tcMar>
          </w:tcPr>
          <w:p w14:paraId="0E6971EF" w14:textId="77777777" w:rsidR="009A54B8" w:rsidRDefault="009A54B8">
            <w:pPr>
              <w:pStyle w:val="Standard"/>
              <w:rPr>
                <w:rFonts w:ascii="Garamond" w:hAnsi="Garamond"/>
                <w:sz w:val="22"/>
                <w:szCs w:val="22"/>
              </w:rPr>
            </w:pPr>
            <w:r>
              <w:rPr>
                <w:rFonts w:ascii="Garamond" w:hAnsi="Garamond"/>
                <w:sz w:val="22"/>
                <w:szCs w:val="22"/>
              </w:rPr>
              <w:t>Language choices are thoughtful and generally support the effectiveness of the presentation. Language in presentation is appropriate to audience.</w:t>
            </w:r>
          </w:p>
        </w:tc>
        <w:tc>
          <w:tcPr>
            <w:tcW w:w="3745" w:type="dxa"/>
            <w:tcBorders>
              <w:left w:val="single" w:sz="2" w:space="0" w:color="000000"/>
              <w:bottom w:val="single" w:sz="2" w:space="0" w:color="000000"/>
            </w:tcBorders>
            <w:tcMar>
              <w:top w:w="55" w:type="dxa"/>
              <w:left w:w="55" w:type="dxa"/>
              <w:bottom w:w="55" w:type="dxa"/>
              <w:right w:w="55" w:type="dxa"/>
            </w:tcMar>
          </w:tcPr>
          <w:p w14:paraId="7E448B01" w14:textId="77777777" w:rsidR="009A54B8" w:rsidRDefault="009A54B8">
            <w:pPr>
              <w:pStyle w:val="Standard"/>
              <w:rPr>
                <w:rFonts w:ascii="Garamond" w:hAnsi="Garamond"/>
                <w:sz w:val="22"/>
                <w:szCs w:val="22"/>
              </w:rPr>
            </w:pPr>
            <w:r>
              <w:rPr>
                <w:rFonts w:ascii="Garamond" w:hAnsi="Garamond"/>
                <w:sz w:val="22"/>
                <w:szCs w:val="22"/>
              </w:rPr>
              <w:t>Language choices are mundane and commonplace and partially support the effectiveness of the presentation. Language in presentation is appropriate to audience.</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959382" w14:textId="77777777" w:rsidR="009A54B8" w:rsidRDefault="009A54B8">
            <w:pPr>
              <w:pStyle w:val="Standard"/>
              <w:rPr>
                <w:rFonts w:ascii="Garamond" w:hAnsi="Garamond"/>
                <w:sz w:val="22"/>
                <w:szCs w:val="22"/>
              </w:rPr>
            </w:pPr>
            <w:r>
              <w:rPr>
                <w:rFonts w:ascii="Garamond" w:hAnsi="Garamond"/>
                <w:sz w:val="22"/>
                <w:szCs w:val="22"/>
              </w:rPr>
              <w:t>Language choices are unclear and minimally support the effectiveness of the presentation. Language in presentation is not appropriate to audience.</w:t>
            </w:r>
          </w:p>
        </w:tc>
      </w:tr>
      <w:tr w:rsidR="009A54B8" w14:paraId="00363725" w14:textId="77777777">
        <w:tc>
          <w:tcPr>
            <w:tcW w:w="3744" w:type="dxa"/>
            <w:tcBorders>
              <w:left w:val="single" w:sz="2" w:space="0" w:color="000000"/>
              <w:bottom w:val="single" w:sz="2" w:space="0" w:color="000000"/>
            </w:tcBorders>
            <w:tcMar>
              <w:top w:w="55" w:type="dxa"/>
              <w:left w:w="55" w:type="dxa"/>
              <w:bottom w:w="55" w:type="dxa"/>
              <w:right w:w="55" w:type="dxa"/>
            </w:tcMar>
          </w:tcPr>
          <w:p w14:paraId="287AA8D1" w14:textId="77777777" w:rsidR="009A54B8" w:rsidRDefault="009A54B8">
            <w:pPr>
              <w:pStyle w:val="Standard"/>
              <w:rPr>
                <w:rFonts w:ascii="Garamond" w:hAnsi="Garamond"/>
                <w:b/>
                <w:bCs/>
                <w:sz w:val="22"/>
                <w:szCs w:val="22"/>
              </w:rPr>
            </w:pPr>
            <w:r>
              <w:rPr>
                <w:rFonts w:ascii="Garamond" w:hAnsi="Garamond"/>
                <w:b/>
                <w:bCs/>
                <w:sz w:val="22"/>
                <w:szCs w:val="22"/>
              </w:rPr>
              <w:t>Delivery</w:t>
            </w:r>
          </w:p>
        </w:tc>
        <w:tc>
          <w:tcPr>
            <w:tcW w:w="3745" w:type="dxa"/>
            <w:tcBorders>
              <w:left w:val="single" w:sz="2" w:space="0" w:color="000000"/>
              <w:bottom w:val="single" w:sz="2" w:space="0" w:color="000000"/>
            </w:tcBorders>
            <w:tcMar>
              <w:top w:w="55" w:type="dxa"/>
              <w:left w:w="55" w:type="dxa"/>
              <w:bottom w:w="55" w:type="dxa"/>
              <w:right w:w="55" w:type="dxa"/>
            </w:tcMar>
          </w:tcPr>
          <w:p w14:paraId="04AB125A" w14:textId="77777777" w:rsidR="009A54B8" w:rsidRDefault="009A54B8">
            <w:pPr>
              <w:pStyle w:val="Standard"/>
              <w:rPr>
                <w:rFonts w:ascii="Garamond" w:hAnsi="Garamond"/>
                <w:sz w:val="22"/>
                <w:szCs w:val="22"/>
              </w:rPr>
            </w:pPr>
            <w:r>
              <w:rPr>
                <w:rFonts w:ascii="Garamond" w:hAnsi="Garamond"/>
                <w:sz w:val="22"/>
                <w:szCs w:val="22"/>
              </w:rPr>
              <w:t>Delivery techniques (posture, gesture, eye contact, and vocal expressiveness) make the presentation compelling, and speaker appears polished and confident.</w:t>
            </w:r>
          </w:p>
        </w:tc>
        <w:tc>
          <w:tcPr>
            <w:tcW w:w="3744" w:type="dxa"/>
            <w:tcBorders>
              <w:left w:val="single" w:sz="2" w:space="0" w:color="000000"/>
              <w:bottom w:val="single" w:sz="2" w:space="0" w:color="000000"/>
            </w:tcBorders>
            <w:tcMar>
              <w:top w:w="55" w:type="dxa"/>
              <w:left w:w="55" w:type="dxa"/>
              <w:bottom w:w="55" w:type="dxa"/>
              <w:right w:w="55" w:type="dxa"/>
            </w:tcMar>
          </w:tcPr>
          <w:p w14:paraId="31EBB18E" w14:textId="77777777" w:rsidR="009A54B8" w:rsidRDefault="009A54B8">
            <w:pPr>
              <w:pStyle w:val="Standard"/>
              <w:rPr>
                <w:rFonts w:ascii="Garamond" w:hAnsi="Garamond"/>
                <w:sz w:val="22"/>
                <w:szCs w:val="22"/>
              </w:rPr>
            </w:pPr>
            <w:r>
              <w:rPr>
                <w:rFonts w:ascii="Garamond" w:hAnsi="Garamond"/>
                <w:sz w:val="22"/>
                <w:szCs w:val="22"/>
              </w:rPr>
              <w:t>Delivery techniques (posture, gesture, eye contact, and vocal expressiveness) make the presentation interesting, and speaker appears comfortable.</w:t>
            </w:r>
          </w:p>
        </w:tc>
        <w:tc>
          <w:tcPr>
            <w:tcW w:w="3745" w:type="dxa"/>
            <w:tcBorders>
              <w:left w:val="single" w:sz="2" w:space="0" w:color="000000"/>
              <w:bottom w:val="single" w:sz="2" w:space="0" w:color="000000"/>
            </w:tcBorders>
            <w:tcMar>
              <w:top w:w="55" w:type="dxa"/>
              <w:left w:w="55" w:type="dxa"/>
              <w:bottom w:w="55" w:type="dxa"/>
              <w:right w:w="55" w:type="dxa"/>
            </w:tcMar>
          </w:tcPr>
          <w:p w14:paraId="3A076A88" w14:textId="77777777" w:rsidR="009A54B8" w:rsidRDefault="009A54B8">
            <w:pPr>
              <w:pStyle w:val="Standard"/>
              <w:rPr>
                <w:rFonts w:ascii="Garamond" w:hAnsi="Garamond"/>
                <w:sz w:val="22"/>
                <w:szCs w:val="22"/>
              </w:rPr>
            </w:pPr>
            <w:r>
              <w:rPr>
                <w:rFonts w:ascii="Garamond" w:hAnsi="Garamond"/>
                <w:sz w:val="22"/>
                <w:szCs w:val="22"/>
              </w:rPr>
              <w:t>Delivery techniques (posture, gesture, eye contact, and vocal expressiveness) make the presentation understandable, and speaker appears tentative.</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8EA3FF" w14:textId="77777777" w:rsidR="009A54B8" w:rsidRDefault="009A54B8">
            <w:pPr>
              <w:pStyle w:val="Standard"/>
              <w:rPr>
                <w:rFonts w:ascii="Garamond" w:hAnsi="Garamond"/>
                <w:sz w:val="22"/>
                <w:szCs w:val="22"/>
              </w:rPr>
            </w:pPr>
            <w:r>
              <w:rPr>
                <w:rFonts w:ascii="Garamond" w:hAnsi="Garamond"/>
                <w:sz w:val="22"/>
                <w:szCs w:val="22"/>
              </w:rPr>
              <w:t>Delivery techniques (posture, gesture, eye contact, and vocal expressiveness) detract from the understandability of the presentation, and speaker appears uncomfortable.</w:t>
            </w:r>
          </w:p>
        </w:tc>
      </w:tr>
      <w:tr w:rsidR="009A54B8" w14:paraId="4F25A86B" w14:textId="77777777">
        <w:tc>
          <w:tcPr>
            <w:tcW w:w="3744" w:type="dxa"/>
            <w:tcBorders>
              <w:left w:val="single" w:sz="2" w:space="0" w:color="000000"/>
              <w:bottom w:val="single" w:sz="2" w:space="0" w:color="000000"/>
            </w:tcBorders>
            <w:tcMar>
              <w:top w:w="55" w:type="dxa"/>
              <w:left w:w="55" w:type="dxa"/>
              <w:bottom w:w="55" w:type="dxa"/>
              <w:right w:w="55" w:type="dxa"/>
            </w:tcMar>
          </w:tcPr>
          <w:p w14:paraId="3AEE4130" w14:textId="77777777" w:rsidR="009A54B8" w:rsidRDefault="009A54B8">
            <w:pPr>
              <w:pStyle w:val="Standard"/>
              <w:rPr>
                <w:rFonts w:ascii="Garamond" w:hAnsi="Garamond"/>
                <w:b/>
                <w:bCs/>
                <w:sz w:val="22"/>
                <w:szCs w:val="22"/>
              </w:rPr>
            </w:pPr>
            <w:r>
              <w:rPr>
                <w:rFonts w:ascii="Garamond" w:hAnsi="Garamond"/>
                <w:b/>
                <w:bCs/>
                <w:sz w:val="22"/>
                <w:szCs w:val="22"/>
              </w:rPr>
              <w:t>Supporting Material</w:t>
            </w:r>
          </w:p>
        </w:tc>
        <w:tc>
          <w:tcPr>
            <w:tcW w:w="3745" w:type="dxa"/>
            <w:tcBorders>
              <w:left w:val="single" w:sz="2" w:space="0" w:color="000000"/>
              <w:bottom w:val="single" w:sz="2" w:space="0" w:color="000000"/>
            </w:tcBorders>
            <w:tcMar>
              <w:top w:w="55" w:type="dxa"/>
              <w:left w:w="55" w:type="dxa"/>
              <w:bottom w:w="55" w:type="dxa"/>
              <w:right w:w="55" w:type="dxa"/>
            </w:tcMar>
          </w:tcPr>
          <w:p w14:paraId="61479180" w14:textId="77777777" w:rsidR="009A54B8" w:rsidRDefault="009A54B8" w:rsidP="00F32A52">
            <w:pPr>
              <w:pStyle w:val="Standard"/>
              <w:rPr>
                <w:rFonts w:ascii="Garamond" w:hAnsi="Garamond"/>
                <w:sz w:val="22"/>
                <w:szCs w:val="22"/>
              </w:rPr>
            </w:pPr>
            <w:r>
              <w:rPr>
                <w:rFonts w:ascii="Garamond" w:hAnsi="Garamond"/>
                <w:sz w:val="22"/>
                <w:szCs w:val="22"/>
              </w:rPr>
              <w:t xml:space="preserve">A variety of types of supporting materials (explanations, examples, illustrations, statistics, analogies, quotations from relevant authorities) make appropriate reference to information or analysis </w:t>
            </w:r>
            <w:r>
              <w:rPr>
                <w:rFonts w:ascii="Garamond" w:hAnsi="Garamond"/>
                <w:sz w:val="22"/>
                <w:szCs w:val="22"/>
                <w:lang w:val="en-US"/>
              </w:rPr>
              <w:t>that</w:t>
            </w:r>
            <w:r>
              <w:rPr>
                <w:rFonts w:ascii="Garamond" w:hAnsi="Garamond"/>
                <w:sz w:val="22"/>
                <w:szCs w:val="22"/>
              </w:rPr>
              <w:t xml:space="preserve"> significantly supports the presentation or establishes the presenter's credibility/authority on the topic.</w:t>
            </w:r>
          </w:p>
        </w:tc>
        <w:tc>
          <w:tcPr>
            <w:tcW w:w="3744" w:type="dxa"/>
            <w:tcBorders>
              <w:left w:val="single" w:sz="2" w:space="0" w:color="000000"/>
              <w:bottom w:val="single" w:sz="2" w:space="0" w:color="000000"/>
            </w:tcBorders>
            <w:tcMar>
              <w:top w:w="55" w:type="dxa"/>
              <w:left w:w="55" w:type="dxa"/>
              <w:bottom w:w="55" w:type="dxa"/>
              <w:right w:w="55" w:type="dxa"/>
            </w:tcMar>
          </w:tcPr>
          <w:p w14:paraId="11A5B32B" w14:textId="77777777" w:rsidR="009A54B8" w:rsidRDefault="009A54B8">
            <w:pPr>
              <w:pStyle w:val="Standard"/>
              <w:rPr>
                <w:rFonts w:ascii="Garamond" w:hAnsi="Garamond"/>
                <w:sz w:val="22"/>
                <w:szCs w:val="22"/>
              </w:rPr>
            </w:pPr>
            <w:r>
              <w:rPr>
                <w:rFonts w:ascii="Garamond" w:hAnsi="Garamond"/>
                <w:sz w:val="22"/>
                <w:szCs w:val="22"/>
              </w:rPr>
              <w:t xml:space="preserve">Supporting materials (explanations, examples, illustrations, statistics, analogies, quotations from relevant authorities) make appropriate reference to information or analysis </w:t>
            </w:r>
            <w:r>
              <w:rPr>
                <w:rFonts w:ascii="Garamond" w:hAnsi="Garamond"/>
                <w:sz w:val="22"/>
                <w:szCs w:val="22"/>
                <w:lang w:val="en-US"/>
              </w:rPr>
              <w:t>that</w:t>
            </w:r>
            <w:r>
              <w:rPr>
                <w:rFonts w:ascii="Garamond" w:hAnsi="Garamond"/>
                <w:sz w:val="22"/>
                <w:szCs w:val="22"/>
              </w:rPr>
              <w:t xml:space="preserve"> generally supports the presentation or establishes the presenter's credibility/authority on the topic.</w:t>
            </w:r>
          </w:p>
        </w:tc>
        <w:tc>
          <w:tcPr>
            <w:tcW w:w="3745" w:type="dxa"/>
            <w:tcBorders>
              <w:left w:val="single" w:sz="2" w:space="0" w:color="000000"/>
              <w:bottom w:val="single" w:sz="2" w:space="0" w:color="000000"/>
            </w:tcBorders>
            <w:tcMar>
              <w:top w:w="55" w:type="dxa"/>
              <w:left w:w="55" w:type="dxa"/>
              <w:bottom w:w="55" w:type="dxa"/>
              <w:right w:w="55" w:type="dxa"/>
            </w:tcMar>
          </w:tcPr>
          <w:p w14:paraId="1CD74008" w14:textId="77777777" w:rsidR="009A54B8" w:rsidRDefault="009A54B8">
            <w:pPr>
              <w:pStyle w:val="Standard"/>
              <w:rPr>
                <w:rFonts w:ascii="Garamond" w:hAnsi="Garamond"/>
                <w:sz w:val="22"/>
                <w:szCs w:val="22"/>
              </w:rPr>
            </w:pPr>
            <w:r>
              <w:rPr>
                <w:rFonts w:ascii="Garamond" w:hAnsi="Garamond"/>
                <w:sz w:val="22"/>
                <w:szCs w:val="22"/>
              </w:rPr>
              <w:t xml:space="preserve">Supporting materials (explanations, examples, illustrations, statistics, analogies, quotations from relevant authorities) make appropriate reference to information or analysis </w:t>
            </w:r>
            <w:r>
              <w:rPr>
                <w:rFonts w:ascii="Garamond" w:hAnsi="Garamond"/>
                <w:sz w:val="22"/>
                <w:szCs w:val="22"/>
                <w:lang w:val="en-US"/>
              </w:rPr>
              <w:t>that</w:t>
            </w:r>
            <w:r>
              <w:rPr>
                <w:rFonts w:ascii="Garamond" w:hAnsi="Garamond"/>
                <w:sz w:val="22"/>
                <w:szCs w:val="22"/>
              </w:rPr>
              <w:t xml:space="preserve"> partially supports the presentation or establishes the presenter's credibility/authority on the topic.</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C02A5B" w14:textId="77777777" w:rsidR="009A54B8" w:rsidRDefault="009A54B8">
            <w:pPr>
              <w:pStyle w:val="Standard"/>
              <w:rPr>
                <w:rFonts w:ascii="Garamond" w:hAnsi="Garamond"/>
                <w:sz w:val="22"/>
                <w:szCs w:val="22"/>
              </w:rPr>
            </w:pPr>
            <w:r>
              <w:rPr>
                <w:rFonts w:ascii="Garamond" w:hAnsi="Garamond"/>
                <w:sz w:val="22"/>
                <w:szCs w:val="22"/>
              </w:rPr>
              <w:t xml:space="preserve">Insufficient supporting materials (explanations, examples, illustrations, statistics, analogies, quotations from relevant authorities) make reference to information or analysis </w:t>
            </w:r>
            <w:r>
              <w:rPr>
                <w:rFonts w:ascii="Garamond" w:hAnsi="Garamond"/>
                <w:sz w:val="22"/>
                <w:szCs w:val="22"/>
                <w:lang w:val="en-US"/>
              </w:rPr>
              <w:t>that</w:t>
            </w:r>
            <w:r>
              <w:rPr>
                <w:rFonts w:ascii="Garamond" w:hAnsi="Garamond"/>
                <w:sz w:val="22"/>
                <w:szCs w:val="22"/>
              </w:rPr>
              <w:t xml:space="preserve"> minimally supports the presentation or establishes the presenter's credibility/authority on the topic.</w:t>
            </w:r>
          </w:p>
        </w:tc>
      </w:tr>
      <w:tr w:rsidR="009A54B8" w14:paraId="4E16AE92" w14:textId="77777777">
        <w:tc>
          <w:tcPr>
            <w:tcW w:w="3744" w:type="dxa"/>
            <w:tcBorders>
              <w:left w:val="single" w:sz="2" w:space="0" w:color="000000"/>
              <w:bottom w:val="single" w:sz="2" w:space="0" w:color="000000"/>
            </w:tcBorders>
            <w:tcMar>
              <w:top w:w="55" w:type="dxa"/>
              <w:left w:w="55" w:type="dxa"/>
              <w:bottom w:w="55" w:type="dxa"/>
              <w:right w:w="55" w:type="dxa"/>
            </w:tcMar>
          </w:tcPr>
          <w:p w14:paraId="72BAF606" w14:textId="77777777" w:rsidR="009A54B8" w:rsidRDefault="009A54B8">
            <w:pPr>
              <w:pStyle w:val="Standard"/>
              <w:rPr>
                <w:rFonts w:ascii="Garamond" w:hAnsi="Garamond"/>
                <w:b/>
                <w:bCs/>
                <w:sz w:val="22"/>
                <w:szCs w:val="22"/>
              </w:rPr>
            </w:pPr>
            <w:r>
              <w:rPr>
                <w:rFonts w:ascii="Garamond" w:hAnsi="Garamond"/>
                <w:b/>
                <w:bCs/>
                <w:sz w:val="22"/>
                <w:szCs w:val="22"/>
              </w:rPr>
              <w:t>Central Message</w:t>
            </w:r>
          </w:p>
        </w:tc>
        <w:tc>
          <w:tcPr>
            <w:tcW w:w="3745" w:type="dxa"/>
            <w:tcBorders>
              <w:left w:val="single" w:sz="2" w:space="0" w:color="000000"/>
              <w:bottom w:val="single" w:sz="2" w:space="0" w:color="000000"/>
            </w:tcBorders>
            <w:tcMar>
              <w:top w:w="55" w:type="dxa"/>
              <w:left w:w="55" w:type="dxa"/>
              <w:bottom w:w="55" w:type="dxa"/>
              <w:right w:w="55" w:type="dxa"/>
            </w:tcMar>
          </w:tcPr>
          <w:p w14:paraId="097D2644" w14:textId="77777777" w:rsidR="009A54B8" w:rsidRDefault="009A54B8">
            <w:pPr>
              <w:pStyle w:val="Standard"/>
              <w:rPr>
                <w:rFonts w:ascii="Garamond" w:hAnsi="Garamond"/>
                <w:sz w:val="22"/>
                <w:szCs w:val="22"/>
              </w:rPr>
            </w:pPr>
            <w:r>
              <w:rPr>
                <w:rFonts w:ascii="Garamond" w:hAnsi="Garamond"/>
                <w:sz w:val="22"/>
                <w:szCs w:val="22"/>
              </w:rPr>
              <w:t>Central message is compelling (precisely stated, appropriately repeated, memorable, and strongly supported.) </w:t>
            </w:r>
          </w:p>
        </w:tc>
        <w:tc>
          <w:tcPr>
            <w:tcW w:w="3744" w:type="dxa"/>
            <w:tcBorders>
              <w:left w:val="single" w:sz="2" w:space="0" w:color="000000"/>
              <w:bottom w:val="single" w:sz="2" w:space="0" w:color="000000"/>
            </w:tcBorders>
            <w:tcMar>
              <w:top w:w="55" w:type="dxa"/>
              <w:left w:w="55" w:type="dxa"/>
              <w:bottom w:w="55" w:type="dxa"/>
              <w:right w:w="55" w:type="dxa"/>
            </w:tcMar>
          </w:tcPr>
          <w:p w14:paraId="2131A957" w14:textId="77777777" w:rsidR="009A54B8" w:rsidRDefault="009A54B8">
            <w:pPr>
              <w:pStyle w:val="Standard"/>
              <w:rPr>
                <w:rFonts w:ascii="Garamond" w:hAnsi="Garamond"/>
                <w:sz w:val="22"/>
                <w:szCs w:val="22"/>
              </w:rPr>
            </w:pPr>
            <w:r>
              <w:rPr>
                <w:rFonts w:ascii="Garamond" w:hAnsi="Garamond"/>
                <w:sz w:val="22"/>
                <w:szCs w:val="22"/>
              </w:rPr>
              <w:t>Central message is clear and consistent with the supporting material.</w:t>
            </w:r>
          </w:p>
        </w:tc>
        <w:tc>
          <w:tcPr>
            <w:tcW w:w="3745" w:type="dxa"/>
            <w:tcBorders>
              <w:left w:val="single" w:sz="2" w:space="0" w:color="000000"/>
              <w:bottom w:val="single" w:sz="2" w:space="0" w:color="000000"/>
            </w:tcBorders>
            <w:tcMar>
              <w:top w:w="55" w:type="dxa"/>
              <w:left w:w="55" w:type="dxa"/>
              <w:bottom w:w="55" w:type="dxa"/>
              <w:right w:w="55" w:type="dxa"/>
            </w:tcMar>
          </w:tcPr>
          <w:p w14:paraId="093A2FA6" w14:textId="77777777" w:rsidR="009A54B8" w:rsidRDefault="009A54B8">
            <w:pPr>
              <w:pStyle w:val="Standard"/>
              <w:rPr>
                <w:rFonts w:ascii="Garamond" w:hAnsi="Garamond"/>
                <w:sz w:val="22"/>
                <w:szCs w:val="22"/>
              </w:rPr>
            </w:pPr>
            <w:r>
              <w:rPr>
                <w:rFonts w:ascii="Garamond" w:hAnsi="Garamond"/>
                <w:sz w:val="22"/>
                <w:szCs w:val="22"/>
              </w:rPr>
              <w:t>Central message is basically understandable but is not often repeated and is not memorable.</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4299E5" w14:textId="77777777" w:rsidR="009A54B8" w:rsidRDefault="009A54B8">
            <w:pPr>
              <w:pStyle w:val="Standard"/>
              <w:rPr>
                <w:rFonts w:ascii="Garamond" w:hAnsi="Garamond"/>
                <w:sz w:val="22"/>
                <w:szCs w:val="22"/>
              </w:rPr>
            </w:pPr>
            <w:r>
              <w:rPr>
                <w:rFonts w:ascii="Garamond" w:hAnsi="Garamond"/>
                <w:sz w:val="22"/>
                <w:szCs w:val="22"/>
              </w:rPr>
              <w:t>Central message can be deduced, but is not explicitly stated in the presentation.</w:t>
            </w:r>
          </w:p>
        </w:tc>
      </w:tr>
    </w:tbl>
    <w:p w14:paraId="573402B6" w14:textId="77777777" w:rsidR="009A54B8" w:rsidRDefault="009A54B8" w:rsidP="009A54B8">
      <w:pPr>
        <w:pStyle w:val="Standard"/>
        <w:rPr>
          <w:rFonts w:ascii="Garamond" w:hAnsi="Garamond"/>
          <w:sz w:val="23"/>
          <w:szCs w:val="23"/>
        </w:rPr>
      </w:pPr>
    </w:p>
    <w:p w14:paraId="0158DAA2" w14:textId="77777777" w:rsidR="009A54B8" w:rsidRDefault="009A54B8" w:rsidP="009A54B8">
      <w:pPr>
        <w:pStyle w:val="Standard"/>
        <w:rPr>
          <w:rFonts w:ascii="Garamond" w:hAnsi="Garamond"/>
        </w:rPr>
      </w:pPr>
      <w:r>
        <w:br w:type="page"/>
      </w:r>
    </w:p>
    <w:tbl>
      <w:tblPr>
        <w:tblW w:w="18586" w:type="dxa"/>
        <w:tblInd w:w="76" w:type="dxa"/>
        <w:tblLayout w:type="fixed"/>
        <w:tblCellMar>
          <w:left w:w="10" w:type="dxa"/>
          <w:right w:w="10" w:type="dxa"/>
        </w:tblCellMar>
        <w:tblLook w:val="0000" w:firstRow="0" w:lastRow="0" w:firstColumn="0" w:lastColumn="0" w:noHBand="0" w:noVBand="0"/>
      </w:tblPr>
      <w:tblGrid>
        <w:gridCol w:w="16704"/>
        <w:gridCol w:w="1882"/>
      </w:tblGrid>
      <w:tr w:rsidR="009A54B8" w14:paraId="680F3140" w14:textId="77777777">
        <w:trPr>
          <w:trHeight w:val="311"/>
        </w:trPr>
        <w:tc>
          <w:tcPr>
            <w:tcW w:w="16704" w:type="dxa"/>
            <w:tcMar>
              <w:top w:w="0" w:type="dxa"/>
              <w:left w:w="0" w:type="dxa"/>
              <w:bottom w:w="0" w:type="dxa"/>
              <w:right w:w="0" w:type="dxa"/>
            </w:tcMar>
          </w:tcPr>
          <w:p w14:paraId="48C83C83" w14:textId="77777777" w:rsidR="009A54B8" w:rsidRDefault="009A54B8">
            <w:pPr>
              <w:pStyle w:val="Standard"/>
              <w:snapToGrid w:val="0"/>
              <w:jc w:val="center"/>
              <w:rPr>
                <w:sz w:val="40"/>
                <w:szCs w:val="40"/>
              </w:rPr>
            </w:pPr>
            <w:r>
              <w:rPr>
                <w:rFonts w:ascii="Garamond" w:hAnsi="Garamond"/>
                <w:b/>
                <w:smallCaps/>
                <w:color w:val="000000"/>
                <w:sz w:val="40"/>
                <w:szCs w:val="40"/>
                <w:lang w:val="en-US"/>
              </w:rPr>
              <w:t>Critical Thinking</w:t>
            </w:r>
            <w:r>
              <w:rPr>
                <w:rFonts w:ascii="Garamond" w:hAnsi="Garamond"/>
                <w:b/>
                <w:smallCaps/>
                <w:color w:val="000000"/>
                <w:sz w:val="40"/>
                <w:szCs w:val="40"/>
              </w:rPr>
              <w:t xml:space="preserve"> VALUE Rubric</w:t>
            </w:r>
          </w:p>
          <w:p w14:paraId="44C64841" w14:textId="77777777" w:rsidR="009A54B8" w:rsidRDefault="009A54B8">
            <w:pPr>
              <w:pStyle w:val="Standard"/>
              <w:snapToGrid w:val="0"/>
              <w:jc w:val="center"/>
            </w:pPr>
            <w:r>
              <w:rPr>
                <w:rFonts w:ascii="Garamond" w:eastAsia="Helvetica" w:hAnsi="Garamond" w:cs="Helvetica"/>
                <w:i/>
                <w:lang w:val="en-US"/>
              </w:rPr>
              <w:t>f</w:t>
            </w:r>
            <w:r>
              <w:rPr>
                <w:rFonts w:ascii="Garamond" w:eastAsia="Helvetica" w:hAnsi="Garamond" w:cs="Helvetica"/>
                <w:i/>
              </w:rPr>
              <w:t>or more information</w:t>
            </w:r>
            <w:r>
              <w:rPr>
                <w:rFonts w:ascii="Garamond" w:eastAsia="Helvetica" w:hAnsi="Garamond" w:cs="Helvetica"/>
                <w:i/>
                <w:lang w:val="en-US"/>
              </w:rPr>
              <w:t xml:space="preserve">, </w:t>
            </w:r>
            <w:r>
              <w:rPr>
                <w:rFonts w:ascii="Garamond" w:eastAsia="Helvetica" w:hAnsi="Garamond" w:cs="Helvetica"/>
                <w:i/>
              </w:rPr>
              <w:t xml:space="preserve">please </w:t>
            </w:r>
            <w:r>
              <w:rPr>
                <w:rFonts w:ascii="Garamond" w:eastAsia="Helvetica" w:hAnsi="Garamond" w:cs="Helvetica"/>
                <w:i/>
                <w:lang w:val="en-US"/>
              </w:rPr>
              <w:t>contact value</w:t>
            </w:r>
            <w:r>
              <w:rPr>
                <w:rFonts w:ascii="Garamond" w:eastAsia="Helvetica" w:hAnsi="Garamond" w:cs="Helvetica"/>
                <w:i/>
              </w:rPr>
              <w:t>@</w:t>
            </w:r>
            <w:r>
              <w:rPr>
                <w:rFonts w:ascii="Garamond" w:eastAsia="Helvetica" w:hAnsi="Garamond" w:cs="Helvetica"/>
                <w:i/>
                <w:lang w:val="en-US"/>
              </w:rPr>
              <w:t>aacu.org</w:t>
            </w:r>
          </w:p>
        </w:tc>
        <w:tc>
          <w:tcPr>
            <w:tcW w:w="1882" w:type="dxa"/>
            <w:tcMar>
              <w:top w:w="0" w:type="dxa"/>
              <w:left w:w="0" w:type="dxa"/>
              <w:bottom w:w="0" w:type="dxa"/>
              <w:right w:w="0" w:type="dxa"/>
            </w:tcMar>
          </w:tcPr>
          <w:p w14:paraId="05CEC2AE" w14:textId="77777777" w:rsidR="009A54B8" w:rsidRDefault="009A54B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0"/>
                <w:szCs w:val="20"/>
              </w:rPr>
            </w:pPr>
            <w:r>
              <w:rPr>
                <w:rFonts w:ascii="Garamond" w:hAnsi="Garamond"/>
                <w:noProof/>
                <w:sz w:val="20"/>
                <w:szCs w:val="20"/>
                <w:lang w:val="en-US"/>
              </w:rPr>
              <w:drawing>
                <wp:inline distT="0" distB="0" distL="0" distR="0" wp14:anchorId="4426E44F" wp14:editId="231183F1">
                  <wp:extent cx="1143000" cy="596900"/>
                  <wp:effectExtent l="2540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143000" cy="596900"/>
                          </a:xfrm>
                          <a:prstGeom prst="rect">
                            <a:avLst/>
                          </a:prstGeom>
                          <a:solidFill>
                            <a:srgbClr val="FFFFFF"/>
                          </a:solidFill>
                          <a:ln w="9525">
                            <a:noFill/>
                            <a:miter lim="800000"/>
                            <a:headEnd/>
                            <a:tailEnd/>
                          </a:ln>
                        </pic:spPr>
                      </pic:pic>
                    </a:graphicData>
                  </a:graphic>
                </wp:inline>
              </w:drawing>
            </w:r>
          </w:p>
        </w:tc>
      </w:tr>
    </w:tbl>
    <w:p w14:paraId="29E14C41" w14:textId="77777777" w:rsidR="009A54B8" w:rsidRDefault="009A54B8" w:rsidP="009A54B8">
      <w:pPr>
        <w:pStyle w:val="Standard"/>
        <w:rPr>
          <w:rFonts w:ascii="Garamond" w:hAnsi="Garamond"/>
        </w:rPr>
      </w:pPr>
    </w:p>
    <w:p w14:paraId="43371196" w14:textId="77777777" w:rsidR="009A54B8" w:rsidRDefault="009A54B8" w:rsidP="009A54B8">
      <w:pPr>
        <w:pStyle w:val="Standard"/>
        <w:rPr>
          <w:rFonts w:ascii="Garamond" w:hAnsi="Garamond"/>
        </w:rPr>
      </w:pPr>
      <w:r>
        <w:rPr>
          <w:rFonts w:ascii="Garamond" w:hAnsi="Garamond"/>
        </w:rPr>
        <w:tab/>
        <w:t>The VALUE rubrics were developed by teams of faculty experts representing colleges and universities across the United States through a process that examined many existing campus rubrics and related documents for each learning outcome and incorporated additional feedback from faculty. The rubrics articulate fundamental criteria for each learning outcome, with performance descriptors demonstrating progressively more sophisticated levels of attainment. The rubrics are intended for institutional-level use in evaluating and discussing student learning, not for grading. The core expectations articulated in all 15 of the VALUE rubrics can and should be translated into the language of individual campuses, disciplines, and even courses.  The utility of the VALUE rubrics is to position learning at all undergraduate levels within a basic framework of expectations such that evidence of learning can by shared nationally through a common dialog and understanding of student success.</w:t>
      </w:r>
    </w:p>
    <w:p w14:paraId="32AA7545" w14:textId="77777777" w:rsidR="009A54B8" w:rsidRDefault="009A54B8" w:rsidP="009A54B8">
      <w:pPr>
        <w:pStyle w:val="Standard"/>
        <w:rPr>
          <w:rFonts w:ascii="Garamond" w:hAnsi="Garamond"/>
        </w:rPr>
      </w:pPr>
    </w:p>
    <w:p w14:paraId="5061A05F" w14:textId="77777777" w:rsidR="009A54B8" w:rsidRDefault="009A54B8" w:rsidP="009A54B8">
      <w:pPr>
        <w:pStyle w:val="Standard"/>
        <w:jc w:val="center"/>
        <w:rPr>
          <w:rFonts w:ascii="Garamond" w:hAnsi="Garamond"/>
          <w:b/>
          <w:bCs/>
        </w:rPr>
      </w:pPr>
      <w:r>
        <w:rPr>
          <w:rFonts w:ascii="Garamond" w:hAnsi="Garamond"/>
          <w:b/>
          <w:bCs/>
        </w:rPr>
        <w:t>Definition</w:t>
      </w:r>
    </w:p>
    <w:p w14:paraId="4C524137" w14:textId="77777777" w:rsidR="009A54B8" w:rsidRDefault="009A54B8" w:rsidP="009A54B8">
      <w:pPr>
        <w:pStyle w:val="Standard"/>
        <w:rPr>
          <w:rFonts w:ascii="Garamond" w:hAnsi="Garamond"/>
        </w:rPr>
      </w:pPr>
      <w:r>
        <w:rPr>
          <w:rFonts w:ascii="Garamond" w:hAnsi="Garamond"/>
        </w:rPr>
        <w:tab/>
        <w:t>Critical thinking is a habit of mind characterized by the comprehensive exploration of issues, ideas, artifacts, and events before accepting or formulating an opinion or conclusion.</w:t>
      </w:r>
    </w:p>
    <w:p w14:paraId="0A9CB99E" w14:textId="77777777" w:rsidR="009A54B8" w:rsidRDefault="009A54B8" w:rsidP="009A54B8">
      <w:pPr>
        <w:pStyle w:val="Standard"/>
        <w:rPr>
          <w:rFonts w:ascii="Garamond" w:hAnsi="Garamond"/>
        </w:rPr>
      </w:pPr>
    </w:p>
    <w:p w14:paraId="3989A5AF" w14:textId="77777777" w:rsidR="009A54B8" w:rsidRDefault="009A54B8" w:rsidP="009A54B8">
      <w:pPr>
        <w:pStyle w:val="Standard"/>
        <w:jc w:val="center"/>
        <w:rPr>
          <w:rFonts w:ascii="Garamond" w:hAnsi="Garamond"/>
          <w:b/>
          <w:bCs/>
        </w:rPr>
      </w:pPr>
      <w:r>
        <w:rPr>
          <w:rFonts w:ascii="Garamond" w:hAnsi="Garamond"/>
          <w:b/>
          <w:bCs/>
        </w:rPr>
        <w:t>Framing Language</w:t>
      </w:r>
    </w:p>
    <w:p w14:paraId="70A608C2" w14:textId="77777777" w:rsidR="009A54B8" w:rsidRDefault="009A54B8" w:rsidP="009A54B8">
      <w:pPr>
        <w:pStyle w:val="Standard"/>
        <w:rPr>
          <w:rFonts w:ascii="Garamond" w:hAnsi="Garamond"/>
        </w:rPr>
      </w:pPr>
      <w:r>
        <w:rPr>
          <w:rFonts w:ascii="Garamond" w:hAnsi="Garamond"/>
        </w:rPr>
        <w:tab/>
        <w:t>This rubric is designed to be transdisciplinary, reflecting the recognition that success in all disciplines requires habits of inquiry and analysis that share common attributes.  Further, research suggests that successful critical thinkers from all disciplines increasingly need to be able to apply those habits in various and changing situations encountered in all walks of life.</w:t>
      </w:r>
    </w:p>
    <w:p w14:paraId="2CAAE0AE" w14:textId="77777777" w:rsidR="009A54B8" w:rsidRDefault="009A54B8" w:rsidP="009A54B8">
      <w:pPr>
        <w:pStyle w:val="Standard"/>
        <w:rPr>
          <w:rFonts w:ascii="Garamond" w:hAnsi="Garamond"/>
        </w:rPr>
      </w:pPr>
      <w:r>
        <w:rPr>
          <w:rFonts w:ascii="Garamond" w:hAnsi="Garamond"/>
        </w:rPr>
        <w:tab/>
        <w:t>This rubric is designed for use with many different types of assignments and the suggestions here are not an exhaustive list of possibilities. Critical thinking can be demonstrated in assignments that require students to complete analyses of text, data, or issues. Assignments that cut across presentation mode might be especially useful in some fields. If insight into the process components of critical thinking (e.g., how information sources were evaluated regardless of whether they were included in the product) is important, assignments focused on student reflection might be especially illuminating. </w:t>
      </w:r>
    </w:p>
    <w:p w14:paraId="327A43C3" w14:textId="77777777" w:rsidR="009A54B8" w:rsidRDefault="009A54B8" w:rsidP="009A54B8">
      <w:pPr>
        <w:pStyle w:val="Standard"/>
        <w:rPr>
          <w:rFonts w:ascii="Garamond" w:hAnsi="Garamond"/>
        </w:rPr>
      </w:pPr>
    </w:p>
    <w:p w14:paraId="17864D6F" w14:textId="77777777" w:rsidR="009A54B8" w:rsidRDefault="009A54B8" w:rsidP="009A54B8">
      <w:pPr>
        <w:pStyle w:val="Standard"/>
        <w:jc w:val="center"/>
        <w:rPr>
          <w:rFonts w:ascii="Garamond" w:hAnsi="Garamond"/>
          <w:b/>
          <w:bCs/>
        </w:rPr>
      </w:pPr>
      <w:r>
        <w:rPr>
          <w:rFonts w:ascii="Garamond" w:hAnsi="Garamond"/>
          <w:b/>
          <w:bCs/>
        </w:rPr>
        <w:t>Glossary</w:t>
      </w:r>
    </w:p>
    <w:p w14:paraId="16555AA4" w14:textId="77777777" w:rsidR="009A54B8" w:rsidRDefault="009A54B8" w:rsidP="009A54B8">
      <w:pPr>
        <w:pStyle w:val="Standard"/>
        <w:jc w:val="center"/>
        <w:rPr>
          <w:rFonts w:ascii="Garamond" w:hAnsi="Garamond"/>
          <w:i/>
          <w:iCs/>
        </w:rPr>
      </w:pPr>
      <w:r>
        <w:rPr>
          <w:rFonts w:ascii="Garamond" w:hAnsi="Garamond"/>
          <w:i/>
          <w:iCs/>
        </w:rPr>
        <w:t>The definitions that follow were developed to clarify terms and concepts used in this rubric only.</w:t>
      </w:r>
    </w:p>
    <w:p w14:paraId="63830BB6" w14:textId="77777777" w:rsidR="009A54B8" w:rsidRDefault="009A54B8" w:rsidP="009A54B8">
      <w:pPr>
        <w:pStyle w:val="Standard"/>
        <w:numPr>
          <w:ilvl w:val="0"/>
          <w:numId w:val="24"/>
        </w:numPr>
        <w:rPr>
          <w:rFonts w:ascii="Garamond" w:hAnsi="Garamond"/>
        </w:rPr>
      </w:pPr>
      <w:r>
        <w:rPr>
          <w:rFonts w:ascii="Garamond" w:hAnsi="Garamond"/>
        </w:rPr>
        <w:t>Ambiguity:  Information that may be interpreted in more than one way.</w:t>
      </w:r>
    </w:p>
    <w:p w14:paraId="35651F8E" w14:textId="77777777" w:rsidR="009A54B8" w:rsidRDefault="009A54B8" w:rsidP="009A54B8">
      <w:pPr>
        <w:pStyle w:val="Standard"/>
        <w:numPr>
          <w:ilvl w:val="0"/>
          <w:numId w:val="24"/>
        </w:numPr>
        <w:rPr>
          <w:rFonts w:ascii="Garamond" w:hAnsi="Garamond"/>
        </w:rPr>
      </w:pPr>
      <w:r>
        <w:rPr>
          <w:rFonts w:ascii="Garamond" w:hAnsi="Garamond"/>
        </w:rPr>
        <w:t xml:space="preserve">Assumptions:  Ideas, conditions, or beliefs (often implicit or unstated) that are "taken for granted or accepted as true without proof." (quoted from </w:t>
      </w:r>
      <w:r>
        <w:rPr>
          <w:rFonts w:ascii="Garamond" w:hAnsi="Garamond"/>
          <w:lang w:val="en-US"/>
        </w:rPr>
        <w:t>www.</w:t>
      </w:r>
      <w:r>
        <w:rPr>
          <w:rFonts w:ascii="Garamond" w:hAnsi="Garamond"/>
        </w:rPr>
        <w:t>dictionary.reference.com/browse/assumptions)</w:t>
      </w:r>
    </w:p>
    <w:p w14:paraId="03786DA5" w14:textId="77777777" w:rsidR="009A54B8" w:rsidRDefault="009A54B8" w:rsidP="009A54B8">
      <w:pPr>
        <w:pStyle w:val="Standard"/>
        <w:numPr>
          <w:ilvl w:val="0"/>
          <w:numId w:val="24"/>
        </w:numPr>
        <w:rPr>
          <w:rFonts w:ascii="Garamond" w:hAnsi="Garamond"/>
        </w:rPr>
      </w:pPr>
      <w:r>
        <w:rPr>
          <w:rFonts w:ascii="Garamond" w:hAnsi="Garamond"/>
        </w:rPr>
        <w:t>Context:  The historical, ethical. political, cultural, environmental, or circumstantial settings or conditions that influence and complicate the consideration of any issues, ideas, artifacts, and events.</w:t>
      </w:r>
    </w:p>
    <w:p w14:paraId="3E130B5D" w14:textId="77777777" w:rsidR="009A54B8" w:rsidRDefault="009A54B8" w:rsidP="009A54B8">
      <w:pPr>
        <w:pStyle w:val="Standard"/>
        <w:numPr>
          <w:ilvl w:val="0"/>
          <w:numId w:val="24"/>
        </w:numPr>
        <w:rPr>
          <w:rFonts w:ascii="Garamond" w:hAnsi="Garamond"/>
        </w:rPr>
      </w:pPr>
      <w:r>
        <w:rPr>
          <w:rFonts w:ascii="Garamond" w:hAnsi="Garamond"/>
        </w:rPr>
        <w:t>Literal meaning:  Interpretation of information exactly as stated.  For example, "she was green with envy" would be interpreted to mean that her skin was green.</w:t>
      </w:r>
    </w:p>
    <w:p w14:paraId="7BA7C001" w14:textId="77777777" w:rsidR="009A54B8" w:rsidRDefault="009A54B8" w:rsidP="009A54B8">
      <w:pPr>
        <w:pStyle w:val="Standard"/>
        <w:numPr>
          <w:ilvl w:val="0"/>
          <w:numId w:val="24"/>
        </w:numPr>
        <w:rPr>
          <w:rFonts w:ascii="Garamond" w:hAnsi="Garamond"/>
        </w:rPr>
      </w:pPr>
      <w:r>
        <w:rPr>
          <w:rFonts w:ascii="Garamond" w:hAnsi="Garamond"/>
        </w:rPr>
        <w:t>Metaphor:  Information that is (intended to be) interpreted in a non-literal way.  For example, "she was green with envy" is intended to convey an intensity of emotion, not a skin color.</w:t>
      </w:r>
    </w:p>
    <w:p w14:paraId="6D7DE2AB" w14:textId="77777777" w:rsidR="009A54B8" w:rsidRDefault="009A54B8" w:rsidP="009A54B8">
      <w:pPr>
        <w:pStyle w:val="Standard"/>
        <w:jc w:val="center"/>
        <w:rPr>
          <w:rFonts w:ascii="Garamond, serif" w:hAnsi="Garamond, serif"/>
          <w:i/>
          <w:iCs/>
          <w:sz w:val="21"/>
          <w:szCs w:val="21"/>
        </w:rPr>
        <w:sectPr w:rsidR="009A54B8">
          <w:pgSz w:w="20163" w:h="12240" w:orient="landscape"/>
          <w:pgMar w:top="720" w:right="720" w:bottom="720" w:left="720" w:header="720" w:footer="720" w:gutter="0"/>
          <w:cols w:space="720"/>
          <w:titlePg/>
        </w:sectPr>
      </w:pPr>
    </w:p>
    <w:tbl>
      <w:tblPr>
        <w:tblW w:w="18586" w:type="dxa"/>
        <w:tblInd w:w="76" w:type="dxa"/>
        <w:tblLayout w:type="fixed"/>
        <w:tblCellMar>
          <w:left w:w="10" w:type="dxa"/>
          <w:right w:w="10" w:type="dxa"/>
        </w:tblCellMar>
        <w:tblLook w:val="0000" w:firstRow="0" w:lastRow="0" w:firstColumn="0" w:lastColumn="0" w:noHBand="0" w:noVBand="0"/>
      </w:tblPr>
      <w:tblGrid>
        <w:gridCol w:w="16704"/>
        <w:gridCol w:w="1882"/>
      </w:tblGrid>
      <w:tr w:rsidR="009A54B8" w14:paraId="7768DCFB" w14:textId="77777777">
        <w:trPr>
          <w:trHeight w:val="311"/>
        </w:trPr>
        <w:tc>
          <w:tcPr>
            <w:tcW w:w="16704" w:type="dxa"/>
            <w:tcMar>
              <w:top w:w="0" w:type="dxa"/>
              <w:left w:w="0" w:type="dxa"/>
              <w:bottom w:w="0" w:type="dxa"/>
              <w:right w:w="0" w:type="dxa"/>
            </w:tcMar>
          </w:tcPr>
          <w:p w14:paraId="116DA127" w14:textId="77777777" w:rsidR="009A54B8" w:rsidRDefault="009A54B8">
            <w:pPr>
              <w:pStyle w:val="Standard"/>
              <w:snapToGrid w:val="0"/>
              <w:jc w:val="center"/>
              <w:rPr>
                <w:sz w:val="40"/>
                <w:szCs w:val="40"/>
              </w:rPr>
            </w:pPr>
            <w:r>
              <w:rPr>
                <w:rFonts w:ascii="Garamond" w:hAnsi="Garamond"/>
                <w:b/>
                <w:smallCaps/>
                <w:color w:val="000000"/>
                <w:sz w:val="40"/>
                <w:szCs w:val="40"/>
                <w:lang w:val="en-US"/>
              </w:rPr>
              <w:t>Critical Thinking</w:t>
            </w:r>
            <w:r>
              <w:rPr>
                <w:rFonts w:ascii="Garamond" w:hAnsi="Garamond"/>
                <w:b/>
                <w:smallCaps/>
                <w:color w:val="000000"/>
                <w:sz w:val="40"/>
                <w:szCs w:val="40"/>
              </w:rPr>
              <w:t xml:space="preserve"> VALUE Rubric</w:t>
            </w:r>
          </w:p>
          <w:p w14:paraId="35CBFF5B" w14:textId="77777777" w:rsidR="009A54B8" w:rsidRDefault="009A54B8">
            <w:pPr>
              <w:pStyle w:val="Standard"/>
              <w:snapToGrid w:val="0"/>
              <w:jc w:val="center"/>
              <w:rPr>
                <w:sz w:val="21"/>
                <w:szCs w:val="21"/>
              </w:rPr>
            </w:pPr>
            <w:r>
              <w:rPr>
                <w:rFonts w:ascii="Garamond" w:eastAsia="Helvetica" w:hAnsi="Garamond" w:cs="Helvetica"/>
                <w:i/>
                <w:sz w:val="21"/>
                <w:szCs w:val="21"/>
                <w:lang w:val="en-US"/>
              </w:rPr>
              <w:t>f</w:t>
            </w:r>
            <w:r>
              <w:rPr>
                <w:rFonts w:ascii="Garamond" w:eastAsia="Helvetica" w:hAnsi="Garamond" w:cs="Helvetica"/>
                <w:i/>
                <w:sz w:val="21"/>
                <w:szCs w:val="21"/>
              </w:rPr>
              <w:t>or more information</w:t>
            </w:r>
            <w:r>
              <w:rPr>
                <w:rFonts w:ascii="Garamond" w:eastAsia="Helvetica" w:hAnsi="Garamond" w:cs="Helvetica"/>
                <w:i/>
                <w:sz w:val="21"/>
                <w:szCs w:val="21"/>
                <w:lang w:val="en-US"/>
              </w:rPr>
              <w:t xml:space="preserve">, </w:t>
            </w:r>
            <w:r>
              <w:rPr>
                <w:rFonts w:ascii="Garamond" w:eastAsia="Helvetica" w:hAnsi="Garamond" w:cs="Helvetica"/>
                <w:i/>
                <w:sz w:val="21"/>
                <w:szCs w:val="21"/>
              </w:rPr>
              <w:t xml:space="preserve">please </w:t>
            </w:r>
            <w:r>
              <w:rPr>
                <w:rFonts w:ascii="Garamond" w:eastAsia="Helvetica" w:hAnsi="Garamond" w:cs="Helvetica"/>
                <w:i/>
                <w:sz w:val="21"/>
                <w:szCs w:val="21"/>
                <w:lang w:val="en-US"/>
              </w:rPr>
              <w:t>contact value</w:t>
            </w:r>
            <w:r>
              <w:rPr>
                <w:rFonts w:ascii="Garamond" w:eastAsia="Helvetica" w:hAnsi="Garamond" w:cs="Helvetica"/>
                <w:i/>
                <w:sz w:val="21"/>
                <w:szCs w:val="21"/>
              </w:rPr>
              <w:t>@</w:t>
            </w:r>
            <w:r>
              <w:rPr>
                <w:rFonts w:ascii="Garamond" w:eastAsia="Helvetica" w:hAnsi="Garamond" w:cs="Helvetica"/>
                <w:i/>
                <w:sz w:val="21"/>
                <w:szCs w:val="21"/>
                <w:lang w:val="en-US"/>
              </w:rPr>
              <w:t>aacu.org</w:t>
            </w:r>
          </w:p>
        </w:tc>
        <w:tc>
          <w:tcPr>
            <w:tcW w:w="1882" w:type="dxa"/>
            <w:tcMar>
              <w:top w:w="0" w:type="dxa"/>
              <w:left w:w="0" w:type="dxa"/>
              <w:bottom w:w="0" w:type="dxa"/>
              <w:right w:w="0" w:type="dxa"/>
            </w:tcMar>
          </w:tcPr>
          <w:p w14:paraId="6E1003A6" w14:textId="77777777" w:rsidR="009A54B8" w:rsidRDefault="009A54B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1"/>
                <w:szCs w:val="21"/>
              </w:rPr>
            </w:pPr>
            <w:r>
              <w:rPr>
                <w:rFonts w:ascii="Garamond" w:hAnsi="Garamond"/>
                <w:noProof/>
                <w:sz w:val="21"/>
                <w:szCs w:val="21"/>
                <w:lang w:val="en-US"/>
              </w:rPr>
              <w:drawing>
                <wp:inline distT="0" distB="0" distL="0" distR="0" wp14:anchorId="71FF74D6" wp14:editId="70323019">
                  <wp:extent cx="1143000" cy="596900"/>
                  <wp:effectExtent l="2540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143000" cy="596900"/>
                          </a:xfrm>
                          <a:prstGeom prst="rect">
                            <a:avLst/>
                          </a:prstGeom>
                          <a:solidFill>
                            <a:srgbClr val="FFFFFF"/>
                          </a:solidFill>
                          <a:ln w="9525">
                            <a:noFill/>
                            <a:miter lim="800000"/>
                            <a:headEnd/>
                            <a:tailEnd/>
                          </a:ln>
                        </pic:spPr>
                      </pic:pic>
                    </a:graphicData>
                  </a:graphic>
                </wp:inline>
              </w:drawing>
            </w:r>
          </w:p>
        </w:tc>
      </w:tr>
    </w:tbl>
    <w:p w14:paraId="0CF275C2" w14:textId="77777777" w:rsidR="009A54B8" w:rsidRDefault="009A54B8" w:rsidP="009A54B8">
      <w:pPr>
        <w:pStyle w:val="Standard"/>
        <w:jc w:val="center"/>
        <w:rPr>
          <w:rFonts w:ascii="Garamond, serif" w:hAnsi="Garamond, serif"/>
          <w:i/>
          <w:iCs/>
          <w:sz w:val="21"/>
          <w:szCs w:val="21"/>
        </w:rPr>
      </w:pPr>
    </w:p>
    <w:p w14:paraId="4C9C4E98" w14:textId="77777777" w:rsidR="009A54B8" w:rsidRDefault="009A54B8" w:rsidP="009A54B8">
      <w:pPr>
        <w:pStyle w:val="Standard"/>
        <w:jc w:val="center"/>
        <w:rPr>
          <w:rFonts w:ascii="Garamond" w:hAnsi="Garamond"/>
          <w:b/>
          <w:bCs/>
          <w:sz w:val="21"/>
          <w:szCs w:val="21"/>
        </w:rPr>
      </w:pPr>
      <w:r>
        <w:rPr>
          <w:rFonts w:ascii="Garamond" w:hAnsi="Garamond"/>
          <w:b/>
          <w:bCs/>
          <w:sz w:val="21"/>
          <w:szCs w:val="21"/>
        </w:rPr>
        <w:t>Definition</w:t>
      </w:r>
    </w:p>
    <w:p w14:paraId="23800320" w14:textId="77777777" w:rsidR="009A54B8" w:rsidRPr="00727225" w:rsidRDefault="009A54B8" w:rsidP="009A54B8">
      <w:pPr>
        <w:pStyle w:val="Standard"/>
        <w:rPr>
          <w:rFonts w:ascii="Garamond" w:hAnsi="Garamond"/>
          <w:sz w:val="21"/>
          <w:szCs w:val="21"/>
        </w:rPr>
      </w:pPr>
      <w:r>
        <w:rPr>
          <w:rFonts w:ascii="Garamond" w:hAnsi="Garamond"/>
          <w:sz w:val="21"/>
          <w:szCs w:val="21"/>
        </w:rPr>
        <w:tab/>
        <w:t>Critical thinking is a habit of mind characterized by the comprehensive exploration of issues, ideas, artifacts, and events before accepting or formulating an opinion or conclusion.</w:t>
      </w:r>
    </w:p>
    <w:p w14:paraId="0104974E" w14:textId="77777777" w:rsidR="009A54B8" w:rsidRDefault="009A54B8" w:rsidP="009A54B8">
      <w:pPr>
        <w:pStyle w:val="Standard"/>
        <w:jc w:val="center"/>
        <w:rPr>
          <w:rFonts w:ascii="Garamond" w:hAnsi="Garamond"/>
          <w:i/>
          <w:iCs/>
          <w:sz w:val="21"/>
          <w:szCs w:val="21"/>
        </w:rPr>
      </w:pPr>
      <w:r>
        <w:rPr>
          <w:rFonts w:ascii="Garamond, serif" w:hAnsi="Garamond, serif"/>
          <w:i/>
          <w:iCs/>
          <w:sz w:val="21"/>
          <w:szCs w:val="21"/>
        </w:rPr>
        <w:t>Ev</w:t>
      </w:r>
      <w:r>
        <w:rPr>
          <w:rFonts w:ascii="Garamond" w:hAnsi="Garamond"/>
          <w:i/>
          <w:iCs/>
          <w:sz w:val="21"/>
          <w:szCs w:val="21"/>
        </w:rPr>
        <w:t>aluators are encouraged to assign a zero to any work sample or collection of work that does not meet benchmark (cell one) level performance.</w:t>
      </w:r>
    </w:p>
    <w:p w14:paraId="282D330D" w14:textId="77777777" w:rsidR="009A54B8" w:rsidRDefault="009A54B8" w:rsidP="009A54B8">
      <w:pPr>
        <w:pStyle w:val="Standard"/>
        <w:jc w:val="center"/>
        <w:rPr>
          <w:rFonts w:ascii="Garamond" w:hAnsi="Garamond"/>
          <w:sz w:val="21"/>
          <w:szCs w:val="21"/>
        </w:rPr>
      </w:pPr>
    </w:p>
    <w:tbl>
      <w:tblPr>
        <w:tblW w:w="18723" w:type="dxa"/>
        <w:tblInd w:w="45" w:type="dxa"/>
        <w:tblLayout w:type="fixed"/>
        <w:tblCellMar>
          <w:left w:w="10" w:type="dxa"/>
          <w:right w:w="10" w:type="dxa"/>
        </w:tblCellMar>
        <w:tblLook w:val="0000" w:firstRow="0" w:lastRow="0" w:firstColumn="0" w:lastColumn="0" w:noHBand="0" w:noVBand="0"/>
      </w:tblPr>
      <w:tblGrid>
        <w:gridCol w:w="3743"/>
        <w:gridCol w:w="3745"/>
        <w:gridCol w:w="3744"/>
        <w:gridCol w:w="3745"/>
        <w:gridCol w:w="3746"/>
      </w:tblGrid>
      <w:tr w:rsidR="009A54B8" w14:paraId="0F26A755" w14:textId="77777777">
        <w:tc>
          <w:tcPr>
            <w:tcW w:w="3744" w:type="dxa"/>
            <w:tcBorders>
              <w:top w:val="single" w:sz="2" w:space="0" w:color="000000"/>
              <w:left w:val="single" w:sz="2" w:space="0" w:color="000000"/>
              <w:bottom w:val="single" w:sz="2" w:space="0" w:color="000000"/>
            </w:tcBorders>
            <w:tcMar>
              <w:top w:w="55" w:type="dxa"/>
              <w:left w:w="55" w:type="dxa"/>
              <w:bottom w:w="55" w:type="dxa"/>
              <w:right w:w="55" w:type="dxa"/>
            </w:tcMar>
          </w:tcPr>
          <w:p w14:paraId="690C378A" w14:textId="77777777" w:rsidR="009A54B8" w:rsidRDefault="009A54B8">
            <w:pPr>
              <w:pStyle w:val="Textbody"/>
              <w:jc w:val="center"/>
              <w:rPr>
                <w:rFonts w:ascii="Garamond" w:hAnsi="Garamond"/>
                <w:b/>
                <w:bCs/>
                <w:sz w:val="21"/>
                <w:szCs w:val="21"/>
              </w:rPr>
            </w:pPr>
          </w:p>
        </w:tc>
        <w:tc>
          <w:tcPr>
            <w:tcW w:w="3745" w:type="dxa"/>
            <w:tcBorders>
              <w:top w:val="single" w:sz="2" w:space="0" w:color="000000"/>
              <w:left w:val="single" w:sz="2" w:space="0" w:color="000000"/>
              <w:bottom w:val="single" w:sz="2" w:space="0" w:color="000000"/>
            </w:tcBorders>
            <w:tcMar>
              <w:top w:w="55" w:type="dxa"/>
              <w:left w:w="55" w:type="dxa"/>
              <w:bottom w:w="55" w:type="dxa"/>
              <w:right w:w="55" w:type="dxa"/>
            </w:tcMar>
          </w:tcPr>
          <w:p w14:paraId="14BB88DB" w14:textId="77777777" w:rsidR="009A54B8" w:rsidRDefault="009A54B8">
            <w:pPr>
              <w:pStyle w:val="Textbody"/>
              <w:jc w:val="center"/>
              <w:rPr>
                <w:rFonts w:ascii="Garamond" w:hAnsi="Garamond"/>
                <w:b/>
                <w:bCs/>
                <w:sz w:val="21"/>
                <w:szCs w:val="21"/>
              </w:rPr>
            </w:pPr>
            <w:r>
              <w:rPr>
                <w:rFonts w:ascii="Garamond" w:hAnsi="Garamond"/>
                <w:b/>
                <w:bCs/>
                <w:sz w:val="21"/>
                <w:szCs w:val="21"/>
              </w:rPr>
              <w:t>Capstone</w:t>
            </w:r>
          </w:p>
          <w:p w14:paraId="797E01F0" w14:textId="77777777" w:rsidR="009A54B8" w:rsidRDefault="009A54B8">
            <w:pPr>
              <w:pStyle w:val="Textbody"/>
              <w:jc w:val="center"/>
              <w:rPr>
                <w:rFonts w:ascii="Garamond" w:hAnsi="Garamond"/>
                <w:sz w:val="21"/>
                <w:szCs w:val="21"/>
              </w:rPr>
            </w:pPr>
            <w:r>
              <w:rPr>
                <w:rFonts w:ascii="Garamond" w:hAnsi="Garamond"/>
                <w:sz w:val="21"/>
                <w:szCs w:val="21"/>
              </w:rPr>
              <w:t>4</w:t>
            </w:r>
          </w:p>
        </w:tc>
        <w:tc>
          <w:tcPr>
            <w:tcW w:w="7489"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721D3FDB" w14:textId="77777777" w:rsidR="009A54B8" w:rsidRDefault="009A54B8">
            <w:pPr>
              <w:pStyle w:val="Textbody"/>
              <w:jc w:val="center"/>
              <w:rPr>
                <w:rFonts w:ascii="Garamond" w:hAnsi="Garamond"/>
                <w:b/>
                <w:bCs/>
                <w:sz w:val="21"/>
                <w:szCs w:val="21"/>
              </w:rPr>
            </w:pPr>
            <w:r>
              <w:rPr>
                <w:rFonts w:ascii="Garamond" w:hAnsi="Garamond"/>
                <w:b/>
                <w:bCs/>
                <w:sz w:val="21"/>
                <w:szCs w:val="21"/>
              </w:rPr>
              <w:t>Milestones</w:t>
            </w:r>
          </w:p>
          <w:p w14:paraId="6727B582" w14:textId="77777777" w:rsidR="009A54B8" w:rsidRDefault="009A54B8">
            <w:pPr>
              <w:pStyle w:val="Textbody"/>
              <w:jc w:val="center"/>
              <w:rPr>
                <w:rFonts w:ascii="Garamond" w:hAnsi="Garamond"/>
                <w:sz w:val="21"/>
                <w:szCs w:val="21"/>
              </w:rPr>
            </w:pPr>
            <w:r>
              <w:rPr>
                <w:rFonts w:ascii="Garamond" w:hAnsi="Garamond"/>
                <w:sz w:val="21"/>
                <w:szCs w:val="21"/>
              </w:rPr>
              <w:t>3</w:t>
            </w:r>
            <w:r>
              <w:rPr>
                <w:rFonts w:ascii="Garamond" w:hAnsi="Garamond"/>
                <w:sz w:val="21"/>
                <w:szCs w:val="21"/>
              </w:rPr>
              <w:tab/>
            </w:r>
            <w:r>
              <w:rPr>
                <w:rFonts w:ascii="Garamond" w:hAnsi="Garamond"/>
                <w:sz w:val="21"/>
                <w:szCs w:val="21"/>
              </w:rPr>
              <w:tab/>
            </w:r>
            <w:r>
              <w:rPr>
                <w:rFonts w:ascii="Garamond" w:hAnsi="Garamond"/>
                <w:sz w:val="21"/>
                <w:szCs w:val="21"/>
              </w:rPr>
              <w:tab/>
            </w:r>
            <w:r>
              <w:rPr>
                <w:rFonts w:ascii="Garamond" w:hAnsi="Garamond"/>
                <w:sz w:val="21"/>
                <w:szCs w:val="21"/>
              </w:rPr>
              <w:tab/>
              <w:t>2</w:t>
            </w:r>
          </w:p>
        </w:tc>
        <w:tc>
          <w:tcPr>
            <w:tcW w:w="37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96B2D4A" w14:textId="77777777" w:rsidR="009A54B8" w:rsidRDefault="009A54B8">
            <w:pPr>
              <w:pStyle w:val="Textbody"/>
              <w:jc w:val="center"/>
              <w:rPr>
                <w:rFonts w:ascii="Garamond" w:hAnsi="Garamond"/>
                <w:b/>
                <w:bCs/>
                <w:sz w:val="21"/>
                <w:szCs w:val="21"/>
              </w:rPr>
            </w:pPr>
            <w:r>
              <w:rPr>
                <w:rFonts w:ascii="Garamond" w:hAnsi="Garamond"/>
                <w:b/>
                <w:bCs/>
                <w:sz w:val="21"/>
                <w:szCs w:val="21"/>
              </w:rPr>
              <w:t>Benchmark</w:t>
            </w:r>
          </w:p>
          <w:p w14:paraId="1FB573C2" w14:textId="77777777" w:rsidR="009A54B8" w:rsidRDefault="009A54B8">
            <w:pPr>
              <w:pStyle w:val="Textbody"/>
              <w:jc w:val="center"/>
              <w:rPr>
                <w:rFonts w:ascii="Garamond" w:hAnsi="Garamond"/>
                <w:sz w:val="21"/>
                <w:szCs w:val="21"/>
              </w:rPr>
            </w:pPr>
            <w:r>
              <w:rPr>
                <w:rFonts w:ascii="Garamond" w:hAnsi="Garamond"/>
                <w:sz w:val="21"/>
                <w:szCs w:val="21"/>
              </w:rPr>
              <w:t>1</w:t>
            </w:r>
          </w:p>
        </w:tc>
      </w:tr>
      <w:tr w:rsidR="009A54B8" w14:paraId="60694271" w14:textId="77777777">
        <w:tc>
          <w:tcPr>
            <w:tcW w:w="3744" w:type="dxa"/>
            <w:tcBorders>
              <w:left w:val="single" w:sz="2" w:space="0" w:color="000000"/>
              <w:bottom w:val="single" w:sz="2" w:space="0" w:color="000000"/>
            </w:tcBorders>
            <w:tcMar>
              <w:top w:w="55" w:type="dxa"/>
              <w:left w:w="55" w:type="dxa"/>
              <w:bottom w:w="55" w:type="dxa"/>
              <w:right w:w="55" w:type="dxa"/>
            </w:tcMar>
          </w:tcPr>
          <w:p w14:paraId="58EE10CA" w14:textId="77777777" w:rsidR="009A54B8" w:rsidRDefault="009A54B8">
            <w:pPr>
              <w:pStyle w:val="Standard"/>
              <w:rPr>
                <w:rFonts w:ascii="Garamond" w:hAnsi="Garamond"/>
                <w:b/>
                <w:bCs/>
                <w:sz w:val="21"/>
                <w:szCs w:val="21"/>
              </w:rPr>
            </w:pPr>
            <w:r>
              <w:rPr>
                <w:rFonts w:ascii="Garamond" w:hAnsi="Garamond"/>
                <w:b/>
                <w:bCs/>
                <w:sz w:val="21"/>
                <w:szCs w:val="21"/>
              </w:rPr>
              <w:t>Explanation of issues</w:t>
            </w:r>
          </w:p>
        </w:tc>
        <w:tc>
          <w:tcPr>
            <w:tcW w:w="3745" w:type="dxa"/>
            <w:tcBorders>
              <w:left w:val="single" w:sz="2" w:space="0" w:color="000000"/>
              <w:bottom w:val="single" w:sz="2" w:space="0" w:color="000000"/>
            </w:tcBorders>
            <w:tcMar>
              <w:top w:w="55" w:type="dxa"/>
              <w:left w:w="55" w:type="dxa"/>
              <w:bottom w:w="55" w:type="dxa"/>
              <w:right w:w="55" w:type="dxa"/>
            </w:tcMar>
          </w:tcPr>
          <w:p w14:paraId="4006F5F7" w14:textId="77777777" w:rsidR="009A54B8" w:rsidRDefault="009A54B8">
            <w:pPr>
              <w:pStyle w:val="Standard"/>
              <w:rPr>
                <w:rFonts w:ascii="Garamond" w:hAnsi="Garamond"/>
                <w:sz w:val="21"/>
                <w:szCs w:val="21"/>
              </w:rPr>
            </w:pPr>
            <w:r>
              <w:rPr>
                <w:rFonts w:ascii="Garamond" w:hAnsi="Garamond"/>
                <w:sz w:val="21"/>
                <w:szCs w:val="21"/>
              </w:rPr>
              <w:t>Issue/problem to be considered critically is stated clearly and described comprehensively, delivering all relevant information necessary for full understanding.</w:t>
            </w:r>
          </w:p>
        </w:tc>
        <w:tc>
          <w:tcPr>
            <w:tcW w:w="3744" w:type="dxa"/>
            <w:tcBorders>
              <w:left w:val="single" w:sz="2" w:space="0" w:color="000000"/>
              <w:bottom w:val="single" w:sz="2" w:space="0" w:color="000000"/>
            </w:tcBorders>
            <w:tcMar>
              <w:top w:w="55" w:type="dxa"/>
              <w:left w:w="55" w:type="dxa"/>
              <w:bottom w:w="55" w:type="dxa"/>
              <w:right w:w="55" w:type="dxa"/>
            </w:tcMar>
          </w:tcPr>
          <w:p w14:paraId="6616E3BD" w14:textId="77777777" w:rsidR="009A54B8" w:rsidRDefault="009A54B8">
            <w:pPr>
              <w:pStyle w:val="Standard"/>
              <w:rPr>
                <w:rFonts w:ascii="Garamond" w:hAnsi="Garamond"/>
                <w:sz w:val="21"/>
                <w:szCs w:val="21"/>
              </w:rPr>
            </w:pPr>
            <w:r>
              <w:rPr>
                <w:rFonts w:ascii="Garamond" w:hAnsi="Garamond"/>
                <w:sz w:val="21"/>
                <w:szCs w:val="21"/>
              </w:rPr>
              <w:t>Issue/problem to be considered critically is stated, described</w:t>
            </w:r>
            <w:r>
              <w:rPr>
                <w:rFonts w:ascii="Garamond" w:hAnsi="Garamond"/>
                <w:sz w:val="21"/>
                <w:szCs w:val="21"/>
                <w:lang w:val="en-US"/>
              </w:rPr>
              <w:t>,</w:t>
            </w:r>
            <w:r>
              <w:rPr>
                <w:rFonts w:ascii="Garamond" w:hAnsi="Garamond"/>
                <w:sz w:val="21"/>
                <w:szCs w:val="21"/>
              </w:rPr>
              <w:t xml:space="preserve"> and clarified so that understanding is not seriously impeded by omissions.</w:t>
            </w:r>
          </w:p>
        </w:tc>
        <w:tc>
          <w:tcPr>
            <w:tcW w:w="3745" w:type="dxa"/>
            <w:tcBorders>
              <w:left w:val="single" w:sz="2" w:space="0" w:color="000000"/>
              <w:bottom w:val="single" w:sz="2" w:space="0" w:color="000000"/>
            </w:tcBorders>
            <w:tcMar>
              <w:top w:w="55" w:type="dxa"/>
              <w:left w:w="55" w:type="dxa"/>
              <w:bottom w:w="55" w:type="dxa"/>
              <w:right w:w="55" w:type="dxa"/>
            </w:tcMar>
          </w:tcPr>
          <w:p w14:paraId="172BAFCA" w14:textId="77777777" w:rsidR="009A54B8" w:rsidRDefault="009A54B8">
            <w:pPr>
              <w:pStyle w:val="Standard"/>
              <w:rPr>
                <w:rFonts w:ascii="Garamond" w:hAnsi="Garamond"/>
                <w:sz w:val="21"/>
                <w:szCs w:val="21"/>
              </w:rPr>
            </w:pPr>
            <w:r>
              <w:rPr>
                <w:rFonts w:ascii="Garamond" w:hAnsi="Garamond"/>
                <w:sz w:val="21"/>
                <w:szCs w:val="21"/>
              </w:rPr>
              <w:t>Issue/problem to be considered critically is stated but description leaves some terms undefined, ambiguities unexplored, boundaries undetermined, and/or backgrounds unknown.</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03A1F7" w14:textId="77777777" w:rsidR="009A54B8" w:rsidRDefault="009A54B8">
            <w:pPr>
              <w:pStyle w:val="Standard"/>
              <w:rPr>
                <w:rFonts w:ascii="Garamond" w:hAnsi="Garamond"/>
                <w:sz w:val="21"/>
                <w:szCs w:val="21"/>
              </w:rPr>
            </w:pPr>
            <w:r>
              <w:rPr>
                <w:rFonts w:ascii="Garamond" w:hAnsi="Garamond"/>
                <w:sz w:val="21"/>
                <w:szCs w:val="21"/>
              </w:rPr>
              <w:t>Issue/problem to be considered critically is stated without clarification or description.</w:t>
            </w:r>
          </w:p>
        </w:tc>
      </w:tr>
      <w:tr w:rsidR="009A54B8" w14:paraId="3F189667" w14:textId="77777777">
        <w:tc>
          <w:tcPr>
            <w:tcW w:w="3744" w:type="dxa"/>
            <w:tcBorders>
              <w:left w:val="single" w:sz="2" w:space="0" w:color="000000"/>
              <w:bottom w:val="single" w:sz="2" w:space="0" w:color="000000"/>
            </w:tcBorders>
            <w:tcMar>
              <w:top w:w="55" w:type="dxa"/>
              <w:left w:w="55" w:type="dxa"/>
              <w:bottom w:w="55" w:type="dxa"/>
              <w:right w:w="55" w:type="dxa"/>
            </w:tcMar>
          </w:tcPr>
          <w:p w14:paraId="4126CE5B" w14:textId="77777777" w:rsidR="009A54B8" w:rsidRDefault="009A54B8">
            <w:pPr>
              <w:pStyle w:val="Standard"/>
              <w:rPr>
                <w:rFonts w:ascii="Garamond" w:hAnsi="Garamond"/>
                <w:b/>
                <w:bCs/>
                <w:sz w:val="21"/>
                <w:szCs w:val="21"/>
              </w:rPr>
            </w:pPr>
            <w:r>
              <w:rPr>
                <w:rFonts w:ascii="Garamond" w:hAnsi="Garamond"/>
                <w:b/>
                <w:bCs/>
                <w:sz w:val="21"/>
                <w:szCs w:val="21"/>
              </w:rPr>
              <w:t>Evidence</w:t>
            </w:r>
          </w:p>
          <w:p w14:paraId="08C759B8" w14:textId="77777777" w:rsidR="009A54B8" w:rsidRDefault="009A54B8">
            <w:pPr>
              <w:pStyle w:val="Standard"/>
              <w:rPr>
                <w:rFonts w:ascii="Garamond" w:hAnsi="Garamond"/>
                <w:i/>
                <w:iCs/>
                <w:sz w:val="21"/>
                <w:szCs w:val="21"/>
              </w:rPr>
            </w:pPr>
            <w:r>
              <w:rPr>
                <w:rFonts w:ascii="Garamond" w:hAnsi="Garamond"/>
                <w:i/>
                <w:iCs/>
                <w:sz w:val="21"/>
                <w:szCs w:val="21"/>
              </w:rPr>
              <w:t>Selecting and using information to investigate a point of view or conclusion</w:t>
            </w:r>
          </w:p>
        </w:tc>
        <w:tc>
          <w:tcPr>
            <w:tcW w:w="3745" w:type="dxa"/>
            <w:tcBorders>
              <w:left w:val="single" w:sz="2" w:space="0" w:color="000000"/>
              <w:bottom w:val="single" w:sz="2" w:space="0" w:color="000000"/>
            </w:tcBorders>
            <w:tcMar>
              <w:top w:w="55" w:type="dxa"/>
              <w:left w:w="55" w:type="dxa"/>
              <w:bottom w:w="55" w:type="dxa"/>
              <w:right w:w="55" w:type="dxa"/>
            </w:tcMar>
          </w:tcPr>
          <w:p w14:paraId="62C9A775" w14:textId="77777777" w:rsidR="009A54B8" w:rsidRDefault="009A54B8">
            <w:pPr>
              <w:pStyle w:val="Standard"/>
              <w:rPr>
                <w:rFonts w:ascii="Garamond" w:hAnsi="Garamond"/>
                <w:sz w:val="21"/>
                <w:szCs w:val="21"/>
              </w:rPr>
            </w:pPr>
            <w:r>
              <w:rPr>
                <w:rFonts w:ascii="Garamond" w:hAnsi="Garamond"/>
                <w:sz w:val="21"/>
                <w:szCs w:val="21"/>
              </w:rPr>
              <w:t xml:space="preserve">Information is taken from source(s) with enough interpretation/evaluation to develop a comprehensive analysis or synthesis.  </w:t>
            </w:r>
          </w:p>
          <w:p w14:paraId="6D2A1582" w14:textId="77777777" w:rsidR="009A54B8" w:rsidRDefault="009A54B8">
            <w:pPr>
              <w:pStyle w:val="Standard"/>
              <w:rPr>
                <w:rFonts w:ascii="Garamond" w:hAnsi="Garamond"/>
                <w:sz w:val="21"/>
                <w:szCs w:val="21"/>
              </w:rPr>
            </w:pPr>
            <w:r>
              <w:rPr>
                <w:rFonts w:ascii="Garamond" w:hAnsi="Garamond"/>
                <w:sz w:val="21"/>
                <w:szCs w:val="21"/>
              </w:rPr>
              <w:t>Viewpoints of experts are questioned thoroughly.</w:t>
            </w:r>
          </w:p>
        </w:tc>
        <w:tc>
          <w:tcPr>
            <w:tcW w:w="3744" w:type="dxa"/>
            <w:tcBorders>
              <w:left w:val="single" w:sz="2" w:space="0" w:color="000000"/>
              <w:bottom w:val="single" w:sz="2" w:space="0" w:color="000000"/>
            </w:tcBorders>
            <w:tcMar>
              <w:top w:w="55" w:type="dxa"/>
              <w:left w:w="55" w:type="dxa"/>
              <w:bottom w:w="55" w:type="dxa"/>
              <w:right w:w="55" w:type="dxa"/>
            </w:tcMar>
          </w:tcPr>
          <w:p w14:paraId="02880C8C" w14:textId="77777777" w:rsidR="009A54B8" w:rsidRDefault="009A54B8">
            <w:pPr>
              <w:pStyle w:val="Standard"/>
              <w:rPr>
                <w:rFonts w:ascii="Garamond" w:hAnsi="Garamond"/>
                <w:sz w:val="21"/>
                <w:szCs w:val="21"/>
              </w:rPr>
            </w:pPr>
            <w:r>
              <w:rPr>
                <w:rFonts w:ascii="Garamond" w:hAnsi="Garamond"/>
                <w:sz w:val="21"/>
                <w:szCs w:val="21"/>
              </w:rPr>
              <w:t>Information is taken from source(s) with enough interpretation/evaluation to develop a coherent analysis or synthesis.</w:t>
            </w:r>
          </w:p>
          <w:p w14:paraId="38561520" w14:textId="77777777" w:rsidR="009A54B8" w:rsidRDefault="009A54B8">
            <w:pPr>
              <w:pStyle w:val="Standard"/>
              <w:rPr>
                <w:rFonts w:ascii="Garamond" w:hAnsi="Garamond"/>
                <w:sz w:val="21"/>
                <w:szCs w:val="21"/>
              </w:rPr>
            </w:pPr>
            <w:r>
              <w:rPr>
                <w:rFonts w:ascii="Garamond" w:hAnsi="Garamond"/>
                <w:sz w:val="21"/>
                <w:szCs w:val="21"/>
              </w:rPr>
              <w:t>Viewpoints of experts are subject to questioning.</w:t>
            </w:r>
          </w:p>
        </w:tc>
        <w:tc>
          <w:tcPr>
            <w:tcW w:w="3745" w:type="dxa"/>
            <w:tcBorders>
              <w:left w:val="single" w:sz="2" w:space="0" w:color="000000"/>
              <w:bottom w:val="single" w:sz="2" w:space="0" w:color="000000"/>
            </w:tcBorders>
            <w:tcMar>
              <w:top w:w="55" w:type="dxa"/>
              <w:left w:w="55" w:type="dxa"/>
              <w:bottom w:w="55" w:type="dxa"/>
              <w:right w:w="55" w:type="dxa"/>
            </w:tcMar>
          </w:tcPr>
          <w:p w14:paraId="5975444B" w14:textId="77777777" w:rsidR="009A54B8" w:rsidRDefault="009A54B8">
            <w:pPr>
              <w:pStyle w:val="Standard"/>
              <w:rPr>
                <w:rFonts w:ascii="Garamond" w:hAnsi="Garamond"/>
                <w:sz w:val="21"/>
                <w:szCs w:val="21"/>
              </w:rPr>
            </w:pPr>
            <w:r>
              <w:rPr>
                <w:rFonts w:ascii="Garamond" w:hAnsi="Garamond"/>
                <w:sz w:val="21"/>
                <w:szCs w:val="21"/>
              </w:rPr>
              <w:t>Information is taken from source(s) with some interpretation/evaluation, but not enough to develop a coherent analysis or synthesis.</w:t>
            </w:r>
          </w:p>
          <w:p w14:paraId="02C9CFA9" w14:textId="77777777" w:rsidR="009A54B8" w:rsidRDefault="009A54B8">
            <w:pPr>
              <w:pStyle w:val="Standard"/>
              <w:rPr>
                <w:rFonts w:ascii="Garamond" w:hAnsi="Garamond"/>
                <w:sz w:val="21"/>
                <w:szCs w:val="21"/>
              </w:rPr>
            </w:pPr>
            <w:r>
              <w:rPr>
                <w:rFonts w:ascii="Garamond" w:hAnsi="Garamond"/>
                <w:sz w:val="21"/>
                <w:szCs w:val="21"/>
              </w:rPr>
              <w:t>Viewpoints of experts are taken as mostly fact, with little questioning.</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3034C7" w14:textId="77777777" w:rsidR="009A54B8" w:rsidRDefault="009A54B8">
            <w:pPr>
              <w:pStyle w:val="Standard"/>
              <w:rPr>
                <w:rFonts w:ascii="Garamond" w:hAnsi="Garamond"/>
                <w:sz w:val="21"/>
                <w:szCs w:val="21"/>
              </w:rPr>
            </w:pPr>
            <w:r>
              <w:rPr>
                <w:rFonts w:ascii="Garamond" w:hAnsi="Garamond"/>
                <w:sz w:val="21"/>
                <w:szCs w:val="21"/>
              </w:rPr>
              <w:t>Information is taken from source(s) without any interpretation/evaluation.</w:t>
            </w:r>
          </w:p>
          <w:p w14:paraId="3B657A7B" w14:textId="77777777" w:rsidR="009A54B8" w:rsidRDefault="009A54B8">
            <w:pPr>
              <w:pStyle w:val="Standard"/>
              <w:rPr>
                <w:rFonts w:ascii="Garamond" w:hAnsi="Garamond"/>
                <w:sz w:val="21"/>
                <w:szCs w:val="21"/>
              </w:rPr>
            </w:pPr>
            <w:r>
              <w:rPr>
                <w:rFonts w:ascii="Garamond" w:hAnsi="Garamond"/>
                <w:sz w:val="21"/>
                <w:szCs w:val="21"/>
              </w:rPr>
              <w:t>Viewpoints of experts are taken as fact, without question.</w:t>
            </w:r>
          </w:p>
        </w:tc>
      </w:tr>
      <w:tr w:rsidR="009A54B8" w14:paraId="70EFB6D5" w14:textId="77777777">
        <w:tc>
          <w:tcPr>
            <w:tcW w:w="3744" w:type="dxa"/>
            <w:tcBorders>
              <w:left w:val="single" w:sz="2" w:space="0" w:color="000000"/>
              <w:bottom w:val="single" w:sz="2" w:space="0" w:color="000000"/>
            </w:tcBorders>
            <w:tcMar>
              <w:top w:w="55" w:type="dxa"/>
              <w:left w:w="55" w:type="dxa"/>
              <w:bottom w:w="55" w:type="dxa"/>
              <w:right w:w="55" w:type="dxa"/>
            </w:tcMar>
          </w:tcPr>
          <w:p w14:paraId="2D4EBF77" w14:textId="77777777" w:rsidR="009A54B8" w:rsidRDefault="009A54B8">
            <w:pPr>
              <w:pStyle w:val="Standard"/>
              <w:rPr>
                <w:rFonts w:ascii="Garamond" w:hAnsi="Garamond"/>
                <w:b/>
                <w:bCs/>
                <w:sz w:val="21"/>
                <w:szCs w:val="21"/>
              </w:rPr>
            </w:pPr>
            <w:r>
              <w:rPr>
                <w:rFonts w:ascii="Garamond" w:hAnsi="Garamond"/>
                <w:b/>
                <w:bCs/>
                <w:sz w:val="21"/>
                <w:szCs w:val="21"/>
              </w:rPr>
              <w:t>Influence of context and assumptions</w:t>
            </w:r>
          </w:p>
        </w:tc>
        <w:tc>
          <w:tcPr>
            <w:tcW w:w="3745" w:type="dxa"/>
            <w:tcBorders>
              <w:left w:val="single" w:sz="2" w:space="0" w:color="000000"/>
              <w:bottom w:val="single" w:sz="2" w:space="0" w:color="000000"/>
            </w:tcBorders>
            <w:tcMar>
              <w:top w:w="55" w:type="dxa"/>
              <w:left w:w="55" w:type="dxa"/>
              <w:bottom w:w="55" w:type="dxa"/>
              <w:right w:w="55" w:type="dxa"/>
            </w:tcMar>
          </w:tcPr>
          <w:p w14:paraId="41140E19" w14:textId="77777777" w:rsidR="009A54B8" w:rsidRDefault="009A54B8">
            <w:pPr>
              <w:pStyle w:val="Standard"/>
              <w:rPr>
                <w:rFonts w:ascii="Garamond" w:hAnsi="Garamond"/>
                <w:sz w:val="21"/>
                <w:szCs w:val="21"/>
              </w:rPr>
            </w:pPr>
            <w:r>
              <w:rPr>
                <w:rFonts w:ascii="Garamond" w:hAnsi="Garamond"/>
                <w:sz w:val="21"/>
                <w:szCs w:val="21"/>
              </w:rPr>
              <w:t>Thoroughly (systematically and methodically) analyzes own and others</w:t>
            </w:r>
            <w:r w:rsidRPr="00D247C6">
              <w:rPr>
                <w:rFonts w:ascii="Garamond" w:hAnsi="Garamond"/>
                <w:sz w:val="21"/>
                <w:szCs w:val="21"/>
              </w:rPr>
              <w:t xml:space="preserve">' </w:t>
            </w:r>
            <w:r>
              <w:rPr>
                <w:rFonts w:ascii="Garamond" w:hAnsi="Garamond"/>
                <w:sz w:val="21"/>
                <w:szCs w:val="21"/>
              </w:rPr>
              <w:t>assumptions and carefully evaluates the relevance of contexts when presenting a position.</w:t>
            </w:r>
          </w:p>
        </w:tc>
        <w:tc>
          <w:tcPr>
            <w:tcW w:w="3744" w:type="dxa"/>
            <w:tcBorders>
              <w:left w:val="single" w:sz="2" w:space="0" w:color="000000"/>
              <w:bottom w:val="single" w:sz="2" w:space="0" w:color="000000"/>
            </w:tcBorders>
            <w:tcMar>
              <w:top w:w="55" w:type="dxa"/>
              <w:left w:w="55" w:type="dxa"/>
              <w:bottom w:w="55" w:type="dxa"/>
              <w:right w:w="55" w:type="dxa"/>
            </w:tcMar>
          </w:tcPr>
          <w:p w14:paraId="396DB511" w14:textId="77777777" w:rsidR="009A54B8" w:rsidRDefault="009A54B8">
            <w:pPr>
              <w:pStyle w:val="Standard"/>
              <w:rPr>
                <w:rFonts w:ascii="Garamond" w:hAnsi="Garamond"/>
                <w:sz w:val="21"/>
                <w:szCs w:val="21"/>
              </w:rPr>
            </w:pPr>
            <w:r>
              <w:rPr>
                <w:rFonts w:ascii="Garamond" w:hAnsi="Garamond"/>
                <w:sz w:val="21"/>
                <w:szCs w:val="21"/>
              </w:rPr>
              <w:t>Identifies own and others' assumptions and several relevant contexts when presenting a position.</w:t>
            </w:r>
          </w:p>
        </w:tc>
        <w:tc>
          <w:tcPr>
            <w:tcW w:w="3745" w:type="dxa"/>
            <w:tcBorders>
              <w:left w:val="single" w:sz="2" w:space="0" w:color="000000"/>
              <w:bottom w:val="single" w:sz="2" w:space="0" w:color="000000"/>
            </w:tcBorders>
            <w:tcMar>
              <w:top w:w="55" w:type="dxa"/>
              <w:left w:w="55" w:type="dxa"/>
              <w:bottom w:w="55" w:type="dxa"/>
              <w:right w:w="55" w:type="dxa"/>
            </w:tcMar>
          </w:tcPr>
          <w:p w14:paraId="40C81ACD" w14:textId="77777777" w:rsidR="009A54B8" w:rsidRDefault="009A54B8">
            <w:pPr>
              <w:pStyle w:val="Standard"/>
              <w:rPr>
                <w:rFonts w:ascii="Garamond" w:hAnsi="Garamond"/>
                <w:sz w:val="21"/>
                <w:szCs w:val="21"/>
              </w:rPr>
            </w:pPr>
            <w:r>
              <w:rPr>
                <w:rFonts w:ascii="Garamond" w:hAnsi="Garamond"/>
                <w:sz w:val="21"/>
                <w:szCs w:val="21"/>
              </w:rPr>
              <w:t>Questions some assumptions.  Identifies several relevant contexts when presenting a position. May be more aware of others' assumptions than one's own (or vice versa).</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B90B34" w14:textId="77777777" w:rsidR="009A54B8" w:rsidRDefault="009A54B8">
            <w:pPr>
              <w:pStyle w:val="Standard"/>
              <w:rPr>
                <w:rFonts w:ascii="Garamond" w:hAnsi="Garamond"/>
                <w:sz w:val="21"/>
                <w:szCs w:val="21"/>
              </w:rPr>
            </w:pPr>
            <w:r>
              <w:rPr>
                <w:rFonts w:ascii="Garamond" w:hAnsi="Garamond"/>
                <w:sz w:val="21"/>
                <w:szCs w:val="21"/>
              </w:rPr>
              <w:t>Shows an emerging awareness of present assumptions (sometimes labels assertions as assumptions).</w:t>
            </w:r>
            <w:r>
              <w:rPr>
                <w:rFonts w:ascii="Garamond" w:hAnsi="Garamond"/>
                <w:sz w:val="21"/>
                <w:szCs w:val="21"/>
                <w:lang w:val="en-US"/>
              </w:rPr>
              <w:t xml:space="preserve"> </w:t>
            </w:r>
            <w:r>
              <w:rPr>
                <w:rFonts w:ascii="Garamond" w:hAnsi="Garamond"/>
                <w:sz w:val="21"/>
                <w:szCs w:val="21"/>
              </w:rPr>
              <w:t>Begins to identify some contexts when presenting a position.</w:t>
            </w:r>
          </w:p>
        </w:tc>
      </w:tr>
      <w:tr w:rsidR="009A54B8" w14:paraId="17A1A937" w14:textId="77777777">
        <w:tc>
          <w:tcPr>
            <w:tcW w:w="3744" w:type="dxa"/>
            <w:tcBorders>
              <w:left w:val="single" w:sz="2" w:space="0" w:color="000000"/>
              <w:bottom w:val="single" w:sz="2" w:space="0" w:color="000000"/>
            </w:tcBorders>
            <w:tcMar>
              <w:top w:w="55" w:type="dxa"/>
              <w:left w:w="55" w:type="dxa"/>
              <w:bottom w:w="55" w:type="dxa"/>
              <w:right w:w="55" w:type="dxa"/>
            </w:tcMar>
          </w:tcPr>
          <w:p w14:paraId="37460DA1" w14:textId="77777777" w:rsidR="009A54B8" w:rsidRPr="00D247C6" w:rsidRDefault="009A54B8">
            <w:pPr>
              <w:pStyle w:val="Standard"/>
              <w:rPr>
                <w:rFonts w:ascii="Garamond" w:hAnsi="Garamond"/>
                <w:b/>
                <w:bCs/>
                <w:sz w:val="21"/>
                <w:szCs w:val="21"/>
              </w:rPr>
            </w:pPr>
            <w:r w:rsidRPr="00D247C6">
              <w:rPr>
                <w:rFonts w:ascii="Garamond" w:hAnsi="Garamond"/>
                <w:b/>
                <w:bCs/>
                <w:sz w:val="21"/>
                <w:szCs w:val="21"/>
              </w:rPr>
              <w:t>Student's position (perspective, thesis/hypothesis)</w:t>
            </w:r>
          </w:p>
        </w:tc>
        <w:tc>
          <w:tcPr>
            <w:tcW w:w="3745" w:type="dxa"/>
            <w:tcBorders>
              <w:left w:val="single" w:sz="2" w:space="0" w:color="000000"/>
              <w:bottom w:val="single" w:sz="2" w:space="0" w:color="000000"/>
            </w:tcBorders>
            <w:tcMar>
              <w:top w:w="55" w:type="dxa"/>
              <w:left w:w="55" w:type="dxa"/>
              <w:bottom w:w="55" w:type="dxa"/>
              <w:right w:w="55" w:type="dxa"/>
            </w:tcMar>
          </w:tcPr>
          <w:p w14:paraId="1585A3E5" w14:textId="77777777" w:rsidR="009A54B8" w:rsidRDefault="009A54B8">
            <w:pPr>
              <w:pStyle w:val="Standard"/>
              <w:rPr>
                <w:rFonts w:ascii="Garamond" w:hAnsi="Garamond"/>
                <w:sz w:val="21"/>
                <w:szCs w:val="21"/>
              </w:rPr>
            </w:pPr>
            <w:r>
              <w:rPr>
                <w:rFonts w:ascii="Garamond" w:hAnsi="Garamond"/>
                <w:sz w:val="21"/>
                <w:szCs w:val="21"/>
              </w:rPr>
              <w:t>Specific position (perspective, thesis/hypothesis) is imaginative, taking into account the complexities of an issue.</w:t>
            </w:r>
          </w:p>
          <w:p w14:paraId="42ED49D4" w14:textId="77777777" w:rsidR="009A54B8" w:rsidRDefault="009A54B8">
            <w:pPr>
              <w:pStyle w:val="Standard"/>
              <w:rPr>
                <w:rFonts w:ascii="Garamond" w:hAnsi="Garamond"/>
                <w:sz w:val="21"/>
                <w:szCs w:val="21"/>
              </w:rPr>
            </w:pPr>
            <w:r>
              <w:rPr>
                <w:rFonts w:ascii="Garamond" w:hAnsi="Garamond"/>
                <w:sz w:val="21"/>
                <w:szCs w:val="21"/>
              </w:rPr>
              <w:t>Limits of position (perspective, thesis/hypothesis) are acknowledged.</w:t>
            </w:r>
          </w:p>
          <w:p w14:paraId="2436285A" w14:textId="77777777" w:rsidR="009A54B8" w:rsidRDefault="009A54B8">
            <w:pPr>
              <w:pStyle w:val="Standard"/>
              <w:rPr>
                <w:rFonts w:ascii="Garamond" w:hAnsi="Garamond"/>
                <w:sz w:val="21"/>
                <w:szCs w:val="21"/>
              </w:rPr>
            </w:pPr>
            <w:r>
              <w:rPr>
                <w:rFonts w:ascii="Garamond" w:hAnsi="Garamond"/>
                <w:sz w:val="21"/>
                <w:szCs w:val="21"/>
              </w:rPr>
              <w:t>Others' points of view are synthesized within position (perspective, thesis/hypothesis).</w:t>
            </w:r>
          </w:p>
        </w:tc>
        <w:tc>
          <w:tcPr>
            <w:tcW w:w="3744" w:type="dxa"/>
            <w:tcBorders>
              <w:left w:val="single" w:sz="2" w:space="0" w:color="000000"/>
              <w:bottom w:val="single" w:sz="2" w:space="0" w:color="000000"/>
            </w:tcBorders>
            <w:tcMar>
              <w:top w:w="55" w:type="dxa"/>
              <w:left w:w="55" w:type="dxa"/>
              <w:bottom w:w="55" w:type="dxa"/>
              <w:right w:w="55" w:type="dxa"/>
            </w:tcMar>
          </w:tcPr>
          <w:p w14:paraId="4CB6D278" w14:textId="77777777" w:rsidR="009A54B8" w:rsidRDefault="009A54B8">
            <w:pPr>
              <w:pStyle w:val="Standard"/>
              <w:rPr>
                <w:rFonts w:ascii="Garamond" w:hAnsi="Garamond"/>
                <w:sz w:val="21"/>
                <w:szCs w:val="21"/>
              </w:rPr>
            </w:pPr>
            <w:r>
              <w:rPr>
                <w:rFonts w:ascii="Garamond" w:hAnsi="Garamond"/>
                <w:sz w:val="21"/>
                <w:szCs w:val="21"/>
              </w:rPr>
              <w:t>Specific position (perspective, thesis/hypothesis) takes into account the complexities of an issue.</w:t>
            </w:r>
          </w:p>
          <w:p w14:paraId="1CB53444" w14:textId="77777777" w:rsidR="009A54B8" w:rsidRDefault="009A54B8">
            <w:pPr>
              <w:pStyle w:val="Standard"/>
              <w:rPr>
                <w:rFonts w:ascii="Garamond" w:hAnsi="Garamond"/>
                <w:sz w:val="21"/>
                <w:szCs w:val="21"/>
              </w:rPr>
            </w:pPr>
            <w:r>
              <w:rPr>
                <w:rFonts w:ascii="Garamond" w:hAnsi="Garamond"/>
                <w:sz w:val="21"/>
                <w:szCs w:val="21"/>
              </w:rPr>
              <w:t>Others' points of view are acknowledged within position (perspective, thesis/hypothesis).</w:t>
            </w:r>
          </w:p>
        </w:tc>
        <w:tc>
          <w:tcPr>
            <w:tcW w:w="3745" w:type="dxa"/>
            <w:tcBorders>
              <w:left w:val="single" w:sz="2" w:space="0" w:color="000000"/>
              <w:bottom w:val="single" w:sz="2" w:space="0" w:color="000000"/>
            </w:tcBorders>
            <w:tcMar>
              <w:top w:w="55" w:type="dxa"/>
              <w:left w:w="55" w:type="dxa"/>
              <w:bottom w:w="55" w:type="dxa"/>
              <w:right w:w="55" w:type="dxa"/>
            </w:tcMar>
          </w:tcPr>
          <w:p w14:paraId="6EA2D30A" w14:textId="77777777" w:rsidR="009A54B8" w:rsidRDefault="009A54B8">
            <w:pPr>
              <w:pStyle w:val="Standard"/>
              <w:rPr>
                <w:rFonts w:ascii="Garamond" w:hAnsi="Garamond"/>
                <w:sz w:val="21"/>
                <w:szCs w:val="21"/>
              </w:rPr>
            </w:pPr>
            <w:r>
              <w:rPr>
                <w:rFonts w:ascii="Garamond" w:hAnsi="Garamond"/>
                <w:sz w:val="21"/>
                <w:szCs w:val="21"/>
              </w:rPr>
              <w:t>Specific position (perspective, thesis/hypothesis) acknowledges different sides of an issue.</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872BA1" w14:textId="77777777" w:rsidR="009A54B8" w:rsidRDefault="009A54B8">
            <w:pPr>
              <w:pStyle w:val="Standard"/>
              <w:rPr>
                <w:rFonts w:ascii="Garamond" w:hAnsi="Garamond"/>
                <w:sz w:val="21"/>
                <w:szCs w:val="21"/>
              </w:rPr>
            </w:pPr>
            <w:r>
              <w:rPr>
                <w:rFonts w:ascii="Garamond" w:hAnsi="Garamond"/>
                <w:sz w:val="21"/>
                <w:szCs w:val="21"/>
              </w:rPr>
              <w:t>Specific position (perspective, thesis/hypothesis) is stated, but is simplistic and obvious.</w:t>
            </w:r>
          </w:p>
        </w:tc>
      </w:tr>
      <w:tr w:rsidR="009A54B8" w14:paraId="1568A51A" w14:textId="77777777">
        <w:tc>
          <w:tcPr>
            <w:tcW w:w="3744" w:type="dxa"/>
            <w:tcBorders>
              <w:left w:val="single" w:sz="2" w:space="0" w:color="000000"/>
              <w:bottom w:val="single" w:sz="2" w:space="0" w:color="000000"/>
            </w:tcBorders>
            <w:tcMar>
              <w:top w:w="55" w:type="dxa"/>
              <w:left w:w="55" w:type="dxa"/>
              <w:bottom w:w="55" w:type="dxa"/>
              <w:right w:w="55" w:type="dxa"/>
            </w:tcMar>
          </w:tcPr>
          <w:p w14:paraId="2FE561D9" w14:textId="77777777" w:rsidR="009A54B8" w:rsidRDefault="009A54B8">
            <w:pPr>
              <w:pStyle w:val="Standard"/>
              <w:rPr>
                <w:rFonts w:ascii="Garamond" w:hAnsi="Garamond"/>
                <w:b/>
                <w:bCs/>
                <w:sz w:val="21"/>
                <w:szCs w:val="21"/>
              </w:rPr>
            </w:pPr>
            <w:r>
              <w:rPr>
                <w:rFonts w:ascii="Garamond" w:hAnsi="Garamond"/>
                <w:b/>
                <w:bCs/>
                <w:sz w:val="21"/>
                <w:szCs w:val="21"/>
              </w:rPr>
              <w:t>Conclusions and related outcomes (implications and consequences)</w:t>
            </w:r>
          </w:p>
        </w:tc>
        <w:tc>
          <w:tcPr>
            <w:tcW w:w="3745" w:type="dxa"/>
            <w:tcBorders>
              <w:left w:val="single" w:sz="2" w:space="0" w:color="000000"/>
              <w:bottom w:val="single" w:sz="2" w:space="0" w:color="000000"/>
            </w:tcBorders>
            <w:tcMar>
              <w:top w:w="55" w:type="dxa"/>
              <w:left w:w="55" w:type="dxa"/>
              <w:bottom w:w="55" w:type="dxa"/>
              <w:right w:w="55" w:type="dxa"/>
            </w:tcMar>
          </w:tcPr>
          <w:p w14:paraId="0DE78486" w14:textId="77777777" w:rsidR="009A54B8" w:rsidRPr="00D247C6" w:rsidRDefault="009A54B8">
            <w:pPr>
              <w:pStyle w:val="Standard"/>
              <w:rPr>
                <w:rFonts w:ascii="Garamond" w:hAnsi="Garamond"/>
                <w:sz w:val="21"/>
                <w:szCs w:val="21"/>
                <w:lang w:val="en-US"/>
              </w:rPr>
            </w:pPr>
            <w:r>
              <w:rPr>
                <w:rFonts w:ascii="Garamond" w:hAnsi="Garamond"/>
                <w:sz w:val="21"/>
                <w:szCs w:val="21"/>
              </w:rPr>
              <w:t>Conclusions and related outcomes (consequences and implications) are logical and reflect student’s informed evaluation and ability to place evidence and perspectives discussed in priority order</w:t>
            </w:r>
            <w:r>
              <w:rPr>
                <w:rFonts w:ascii="Garamond" w:hAnsi="Garamond"/>
                <w:sz w:val="21"/>
                <w:szCs w:val="21"/>
                <w:lang w:val="en-US"/>
              </w:rPr>
              <w:t>.</w:t>
            </w:r>
          </w:p>
        </w:tc>
        <w:tc>
          <w:tcPr>
            <w:tcW w:w="3744" w:type="dxa"/>
            <w:tcBorders>
              <w:left w:val="single" w:sz="2" w:space="0" w:color="000000"/>
              <w:bottom w:val="single" w:sz="2" w:space="0" w:color="000000"/>
            </w:tcBorders>
            <w:tcMar>
              <w:top w:w="55" w:type="dxa"/>
              <w:left w:w="55" w:type="dxa"/>
              <w:bottom w:w="55" w:type="dxa"/>
              <w:right w:w="55" w:type="dxa"/>
            </w:tcMar>
          </w:tcPr>
          <w:p w14:paraId="05D3AF1F" w14:textId="77777777" w:rsidR="009A54B8" w:rsidRDefault="009A54B8">
            <w:pPr>
              <w:pStyle w:val="Standard"/>
              <w:rPr>
                <w:rFonts w:ascii="Garamond" w:hAnsi="Garamond"/>
                <w:sz w:val="21"/>
                <w:szCs w:val="21"/>
              </w:rPr>
            </w:pPr>
            <w:r>
              <w:rPr>
                <w:rFonts w:ascii="Garamond" w:hAnsi="Garamond"/>
                <w:sz w:val="21"/>
                <w:szCs w:val="21"/>
              </w:rPr>
              <w:t>Conclusion is logically tied to a range of information, including opposing viewpoints; related outcomes (consequences and implications) are identified clearly.</w:t>
            </w:r>
          </w:p>
        </w:tc>
        <w:tc>
          <w:tcPr>
            <w:tcW w:w="3745" w:type="dxa"/>
            <w:tcBorders>
              <w:left w:val="single" w:sz="2" w:space="0" w:color="000000"/>
              <w:bottom w:val="single" w:sz="2" w:space="0" w:color="000000"/>
            </w:tcBorders>
            <w:tcMar>
              <w:top w:w="55" w:type="dxa"/>
              <w:left w:w="55" w:type="dxa"/>
              <w:bottom w:w="55" w:type="dxa"/>
              <w:right w:w="55" w:type="dxa"/>
            </w:tcMar>
          </w:tcPr>
          <w:p w14:paraId="24F1F2B5" w14:textId="77777777" w:rsidR="009A54B8" w:rsidRDefault="009A54B8">
            <w:pPr>
              <w:pStyle w:val="Standard"/>
              <w:rPr>
                <w:rFonts w:ascii="Garamond" w:hAnsi="Garamond"/>
                <w:sz w:val="21"/>
                <w:szCs w:val="21"/>
              </w:rPr>
            </w:pPr>
            <w:r>
              <w:rPr>
                <w:rFonts w:ascii="Garamond" w:hAnsi="Garamond"/>
                <w:sz w:val="21"/>
                <w:szCs w:val="21"/>
              </w:rPr>
              <w:t>Conclusion is logically tied to information (because information is chosen to fit the desired conclusion); some related outcomes (consequences and implications) are identified clearly.</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70F8D74D" w14:textId="77777777" w:rsidR="009A54B8" w:rsidRDefault="009A54B8">
            <w:pPr>
              <w:pStyle w:val="Standard"/>
              <w:rPr>
                <w:rFonts w:ascii="Garamond" w:hAnsi="Garamond"/>
                <w:sz w:val="21"/>
                <w:szCs w:val="21"/>
              </w:rPr>
            </w:pPr>
            <w:r>
              <w:rPr>
                <w:rFonts w:ascii="Garamond" w:hAnsi="Garamond"/>
                <w:sz w:val="21"/>
                <w:szCs w:val="21"/>
              </w:rPr>
              <w:t>Conclusion is inconsistently tied to some of the information discussed; related outcomes (consequences and implications) are oversimplified.</w:t>
            </w:r>
          </w:p>
        </w:tc>
      </w:tr>
    </w:tbl>
    <w:p w14:paraId="6A92A14C" w14:textId="77777777" w:rsidR="009A54B8" w:rsidRDefault="009A54B8" w:rsidP="009A54B8">
      <w:pPr>
        <w:pStyle w:val="Standard"/>
        <w:rPr>
          <w:rFonts w:ascii="Garamond" w:hAnsi="Garamond"/>
          <w:sz w:val="8"/>
          <w:szCs w:val="8"/>
        </w:rPr>
      </w:pPr>
    </w:p>
    <w:tbl>
      <w:tblPr>
        <w:tblW w:w="18586" w:type="dxa"/>
        <w:tblInd w:w="76" w:type="dxa"/>
        <w:tblLayout w:type="fixed"/>
        <w:tblCellMar>
          <w:left w:w="10" w:type="dxa"/>
          <w:right w:w="10" w:type="dxa"/>
        </w:tblCellMar>
        <w:tblLook w:val="0000" w:firstRow="0" w:lastRow="0" w:firstColumn="0" w:lastColumn="0" w:noHBand="0" w:noVBand="0"/>
      </w:tblPr>
      <w:tblGrid>
        <w:gridCol w:w="16704"/>
        <w:gridCol w:w="1882"/>
      </w:tblGrid>
      <w:tr w:rsidR="00AC003D" w14:paraId="7EFB577E" w14:textId="77777777">
        <w:trPr>
          <w:trHeight w:val="311"/>
        </w:trPr>
        <w:tc>
          <w:tcPr>
            <w:tcW w:w="16704" w:type="dxa"/>
            <w:tcMar>
              <w:top w:w="0" w:type="dxa"/>
              <w:left w:w="0" w:type="dxa"/>
              <w:bottom w:w="0" w:type="dxa"/>
              <w:right w:w="0" w:type="dxa"/>
            </w:tcMar>
          </w:tcPr>
          <w:p w14:paraId="1642CC0F" w14:textId="77777777" w:rsidR="00AC003D" w:rsidRDefault="00AC003D">
            <w:pPr>
              <w:pStyle w:val="Standard"/>
              <w:snapToGrid w:val="0"/>
              <w:jc w:val="center"/>
              <w:rPr>
                <w:rFonts w:ascii="Garamond" w:hAnsi="Garamond"/>
                <w:b/>
                <w:smallCaps/>
                <w:color w:val="000000"/>
                <w:sz w:val="40"/>
                <w:szCs w:val="40"/>
              </w:rPr>
            </w:pPr>
            <w:r>
              <w:rPr>
                <w:rFonts w:ascii="Garamond" w:hAnsi="Garamond"/>
                <w:b/>
                <w:smallCaps/>
                <w:color w:val="000000"/>
                <w:sz w:val="40"/>
                <w:szCs w:val="40"/>
              </w:rPr>
              <w:softHyphen/>
              <w:t>Quantitative Literacy VALUE Rubric</w:t>
            </w:r>
          </w:p>
          <w:p w14:paraId="1B9B210F" w14:textId="77777777" w:rsidR="00AC003D" w:rsidRDefault="00AC003D">
            <w:pPr>
              <w:pStyle w:val="Standard"/>
              <w:snapToGrid w:val="0"/>
              <w:jc w:val="center"/>
            </w:pPr>
            <w:r>
              <w:rPr>
                <w:rFonts w:ascii="Garamond" w:eastAsia="Helvetica" w:hAnsi="Garamond" w:cs="Helvetica"/>
                <w:i/>
                <w:lang w:val="en-US"/>
              </w:rPr>
              <w:t>f</w:t>
            </w:r>
            <w:r>
              <w:rPr>
                <w:rFonts w:ascii="Garamond" w:eastAsia="Helvetica" w:hAnsi="Garamond" w:cs="Helvetica"/>
                <w:i/>
              </w:rPr>
              <w:t>or more information</w:t>
            </w:r>
            <w:r>
              <w:rPr>
                <w:rFonts w:ascii="Garamond" w:eastAsia="Helvetica" w:hAnsi="Garamond" w:cs="Helvetica"/>
                <w:i/>
                <w:lang w:val="en-US"/>
              </w:rPr>
              <w:t xml:space="preserve">, </w:t>
            </w:r>
            <w:r>
              <w:rPr>
                <w:rFonts w:ascii="Garamond" w:eastAsia="Helvetica" w:hAnsi="Garamond" w:cs="Helvetica"/>
                <w:i/>
              </w:rPr>
              <w:t xml:space="preserve">please </w:t>
            </w:r>
            <w:r>
              <w:rPr>
                <w:rFonts w:ascii="Garamond" w:eastAsia="Helvetica" w:hAnsi="Garamond" w:cs="Helvetica"/>
                <w:i/>
                <w:lang w:val="en-US"/>
              </w:rPr>
              <w:t>contact value</w:t>
            </w:r>
            <w:r>
              <w:rPr>
                <w:rFonts w:ascii="Garamond" w:eastAsia="Helvetica" w:hAnsi="Garamond" w:cs="Helvetica"/>
                <w:i/>
              </w:rPr>
              <w:t>@</w:t>
            </w:r>
            <w:r>
              <w:rPr>
                <w:rFonts w:ascii="Garamond" w:eastAsia="Helvetica" w:hAnsi="Garamond" w:cs="Helvetica"/>
                <w:i/>
                <w:lang w:val="en-US"/>
              </w:rPr>
              <w:t>aacu.org</w:t>
            </w:r>
          </w:p>
        </w:tc>
        <w:tc>
          <w:tcPr>
            <w:tcW w:w="1882" w:type="dxa"/>
            <w:tcMar>
              <w:top w:w="0" w:type="dxa"/>
              <w:left w:w="0" w:type="dxa"/>
              <w:bottom w:w="0" w:type="dxa"/>
              <w:right w:w="0" w:type="dxa"/>
            </w:tcMar>
          </w:tcPr>
          <w:p w14:paraId="29500C79" w14:textId="77777777" w:rsidR="00AC003D" w:rsidRDefault="00AC003D">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0"/>
                <w:szCs w:val="20"/>
              </w:rPr>
            </w:pPr>
            <w:r>
              <w:rPr>
                <w:rFonts w:ascii="Garamond" w:hAnsi="Garamond"/>
                <w:noProof/>
                <w:sz w:val="20"/>
                <w:szCs w:val="20"/>
                <w:lang w:val="en-US"/>
              </w:rPr>
              <w:drawing>
                <wp:inline distT="0" distB="0" distL="0" distR="0" wp14:anchorId="506C20BF" wp14:editId="5F312E5B">
                  <wp:extent cx="1143000" cy="596900"/>
                  <wp:effectExtent l="25400" t="0" r="0" b="0"/>
                  <wp:docPr id="38"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12"/>
                          <a:srcRect/>
                          <a:stretch>
                            <a:fillRect/>
                          </a:stretch>
                        </pic:blipFill>
                        <pic:spPr bwMode="auto">
                          <a:xfrm>
                            <a:off x="0" y="0"/>
                            <a:ext cx="1143000" cy="596900"/>
                          </a:xfrm>
                          <a:prstGeom prst="rect">
                            <a:avLst/>
                          </a:prstGeom>
                          <a:solidFill>
                            <a:srgbClr val="FFFFFF"/>
                          </a:solidFill>
                          <a:ln w="9525">
                            <a:noFill/>
                            <a:miter lim="800000"/>
                            <a:headEnd/>
                            <a:tailEnd/>
                          </a:ln>
                        </pic:spPr>
                      </pic:pic>
                    </a:graphicData>
                  </a:graphic>
                </wp:inline>
              </w:drawing>
            </w:r>
          </w:p>
        </w:tc>
      </w:tr>
    </w:tbl>
    <w:p w14:paraId="0B587F4D" w14:textId="77777777" w:rsidR="00AC003D" w:rsidRDefault="00AC003D" w:rsidP="00AC003D">
      <w:pPr>
        <w:pStyle w:val="Standard"/>
        <w:rPr>
          <w:rFonts w:ascii="Garamond" w:hAnsi="Garamond"/>
          <w:sz w:val="22"/>
          <w:szCs w:val="22"/>
        </w:rPr>
      </w:pPr>
    </w:p>
    <w:p w14:paraId="5D1870A2" w14:textId="77777777" w:rsidR="00AC003D" w:rsidRDefault="00AC003D" w:rsidP="00AC003D">
      <w:pPr>
        <w:pStyle w:val="Standard"/>
        <w:rPr>
          <w:rFonts w:ascii="Garamond" w:hAnsi="Garamond"/>
          <w:sz w:val="22"/>
          <w:szCs w:val="22"/>
        </w:rPr>
      </w:pPr>
      <w:r>
        <w:rPr>
          <w:rFonts w:ascii="Garamond" w:hAnsi="Garamond"/>
          <w:sz w:val="22"/>
          <w:szCs w:val="22"/>
        </w:rPr>
        <w:tab/>
        <w:t>The VALUE rubrics were developed by teams of faculty experts representing colleges and universities across the United States through a process that examined many existing campus rubrics and related documents for each learning outcome and incorporated additional feedback from faculty. The rubrics articulate fundamental criteria for each learning outcome, with performance descriptors demonstrating progressively more sophisticated levels of attainment. The rubrics are intended for institutional-level use in evaluating and discussing student learning, not for grading. The core expectations articulated in all 15 of the VALUE rubrics can and should be translated into the language of individual campuses, disciplines, and even courses.  The utility of the VALUE rubrics is to position learning at all undergraduate levels within a basic framework of expectations such that evidence of learning can by shared nationally through a common dialog and understanding of student success.</w:t>
      </w:r>
    </w:p>
    <w:p w14:paraId="0DA5D185" w14:textId="77777777" w:rsidR="00AC003D" w:rsidRDefault="00AC003D" w:rsidP="00AC003D">
      <w:pPr>
        <w:pStyle w:val="Standard"/>
        <w:rPr>
          <w:rFonts w:ascii="Garamond" w:hAnsi="Garamond"/>
          <w:sz w:val="22"/>
          <w:szCs w:val="22"/>
        </w:rPr>
      </w:pPr>
    </w:p>
    <w:p w14:paraId="2D63868D" w14:textId="77777777" w:rsidR="00AC003D" w:rsidRDefault="00AC003D" w:rsidP="00AC003D">
      <w:pPr>
        <w:pStyle w:val="Standard"/>
        <w:jc w:val="center"/>
        <w:rPr>
          <w:rFonts w:ascii="Garamond" w:hAnsi="Garamond"/>
          <w:b/>
          <w:bCs/>
          <w:sz w:val="22"/>
          <w:szCs w:val="22"/>
        </w:rPr>
      </w:pPr>
      <w:r>
        <w:rPr>
          <w:rFonts w:ascii="Garamond" w:hAnsi="Garamond"/>
          <w:b/>
          <w:bCs/>
          <w:sz w:val="22"/>
          <w:szCs w:val="22"/>
        </w:rPr>
        <w:t>Definition</w:t>
      </w:r>
    </w:p>
    <w:p w14:paraId="5E2DA1A4" w14:textId="77777777" w:rsidR="00AC003D" w:rsidRDefault="00AC003D" w:rsidP="00AC003D">
      <w:pPr>
        <w:pStyle w:val="Standard"/>
        <w:rPr>
          <w:rFonts w:ascii="Garamond" w:hAnsi="Garamond"/>
          <w:sz w:val="22"/>
          <w:szCs w:val="22"/>
        </w:rPr>
      </w:pPr>
      <w:r>
        <w:rPr>
          <w:rFonts w:ascii="Garamond" w:hAnsi="Garamond"/>
          <w:sz w:val="22"/>
          <w:szCs w:val="22"/>
        </w:rPr>
        <w:tab/>
        <w:t>Quantitative Literacy (QL) – also known as Numeracy or Quantitative Reasoning (QR) – is a "habit of mind," competency, and comfort in working with numerical data. Individuals with strong QL skills possess the ability to reason and solve quantitative problems from a wide array of authentic contexts and everyday life situations. They understand and can create sophisticated arguments supported by quantitative evidence and they can clearly communicate those arguments in a variety of formats (using words, tables, graphs, mathematical equations, etc., as appropriate).</w:t>
      </w:r>
    </w:p>
    <w:p w14:paraId="179F094A" w14:textId="77777777" w:rsidR="00AC003D" w:rsidRDefault="00AC003D" w:rsidP="00AC003D">
      <w:pPr>
        <w:pStyle w:val="Standard"/>
        <w:rPr>
          <w:rFonts w:ascii="Garamond" w:hAnsi="Garamond"/>
          <w:sz w:val="22"/>
          <w:szCs w:val="22"/>
        </w:rPr>
      </w:pPr>
    </w:p>
    <w:p w14:paraId="4B342743" w14:textId="77777777" w:rsidR="00AC003D" w:rsidRDefault="00AC003D" w:rsidP="00AC003D">
      <w:pPr>
        <w:pStyle w:val="Standard"/>
        <w:jc w:val="center"/>
        <w:rPr>
          <w:rFonts w:ascii="Garamond" w:hAnsi="Garamond"/>
          <w:b/>
          <w:bCs/>
          <w:sz w:val="22"/>
          <w:szCs w:val="22"/>
        </w:rPr>
      </w:pPr>
      <w:r>
        <w:rPr>
          <w:rFonts w:ascii="Garamond" w:hAnsi="Garamond"/>
          <w:b/>
          <w:bCs/>
          <w:sz w:val="22"/>
          <w:szCs w:val="22"/>
        </w:rPr>
        <w:t>Quantitative Literacy Across the Disciplines</w:t>
      </w:r>
    </w:p>
    <w:p w14:paraId="2AD304D7" w14:textId="77777777" w:rsidR="00AC003D" w:rsidRDefault="00AC003D" w:rsidP="00AC003D">
      <w:pPr>
        <w:pStyle w:val="Standard"/>
        <w:rPr>
          <w:rFonts w:ascii="Garamond" w:hAnsi="Garamond"/>
          <w:sz w:val="22"/>
          <w:szCs w:val="22"/>
        </w:rPr>
      </w:pPr>
      <w:r>
        <w:rPr>
          <w:rFonts w:ascii="Garamond" w:hAnsi="Garamond"/>
          <w:sz w:val="22"/>
          <w:szCs w:val="22"/>
        </w:rPr>
        <w:tab/>
        <w:t>Current trends in general education reform demonstrate that faculty are recognizing the steadily growing importance of Quantitative Literacy (QL) in an increasingly quantitative and data-dense world. AAC&amp;U’s recent survey showed that concerns about QL skills are shared by employers, who recognize that many of today’s students will need a wide range of high level quantitative skills to complete their work responsibilities. Virtually all of today’s students, regardless of career choice, will need basic QL skills such as the ability to draw information from charts, graphs, and geometric figures, and the ability to accurately complete straightforward estimations and calculations.</w:t>
      </w:r>
    </w:p>
    <w:p w14:paraId="7C6D7B3A" w14:textId="77777777" w:rsidR="00AC003D" w:rsidRDefault="00AC003D" w:rsidP="00AC003D">
      <w:pPr>
        <w:pStyle w:val="Standard"/>
        <w:rPr>
          <w:rFonts w:ascii="Garamond" w:hAnsi="Garamond"/>
          <w:sz w:val="22"/>
          <w:szCs w:val="22"/>
        </w:rPr>
      </w:pPr>
      <w:r>
        <w:rPr>
          <w:rFonts w:ascii="Garamond" w:hAnsi="Garamond"/>
          <w:sz w:val="22"/>
          <w:szCs w:val="22"/>
        </w:rPr>
        <w:tab/>
        <w:t>Preliminary efforts to find student work products which demonstrate QL skills proved a challenge in this rubric creation process.  It’s possible to find pages of mathematical problems, but what those problem sets don’t demonstrate is whether the student was able to think about and understand the meaning of her work.  It’s possible to find research papers that include quantitative information, but those papers often don’t provide evidence that allows the evaluator to see how much of the thinking was done by the original source (often carefully cited in the paper) and how much was done by the student herself, or whether conclusions drawn from analysis of the source material are even accurate.</w:t>
      </w:r>
    </w:p>
    <w:p w14:paraId="0F1D5915" w14:textId="77777777" w:rsidR="00AC003D" w:rsidRDefault="00AC003D" w:rsidP="00AC003D">
      <w:pPr>
        <w:pStyle w:val="Standard"/>
        <w:rPr>
          <w:rFonts w:ascii="Garamond" w:hAnsi="Garamond"/>
          <w:sz w:val="22"/>
          <w:szCs w:val="22"/>
        </w:rPr>
      </w:pPr>
      <w:r>
        <w:rPr>
          <w:rFonts w:ascii="Garamond" w:hAnsi="Garamond"/>
          <w:sz w:val="22"/>
          <w:szCs w:val="22"/>
        </w:rPr>
        <w:tab/>
        <w:t>Given widespread agreement about the importance of QL, it becomes incumbent on faculty to develop new kinds of assignments which give students substantive, contextualized experience in using such skills as analyzing quantitative information, representing quantitative information in appropriate forms, completing calculations to answer meaningful questions, making judgments based on quantitative data and communicating the results of that work for various purposes and audiences.  As students gain experience with those skills, faculty must develop assignments that require students to create work products which reveal their thought processes and demonstrate the range of their QL skills.</w:t>
      </w:r>
    </w:p>
    <w:p w14:paraId="73EF3B97" w14:textId="77777777" w:rsidR="00AC003D" w:rsidRDefault="00AC003D" w:rsidP="00AC003D">
      <w:pPr>
        <w:pStyle w:val="Standard"/>
        <w:rPr>
          <w:rFonts w:ascii="Garamond" w:hAnsi="Garamond"/>
          <w:sz w:val="22"/>
          <w:szCs w:val="22"/>
        </w:rPr>
      </w:pPr>
      <w:r>
        <w:rPr>
          <w:rFonts w:ascii="Garamond" w:hAnsi="Garamond"/>
          <w:sz w:val="22"/>
          <w:szCs w:val="22"/>
        </w:rPr>
        <w:tab/>
        <w:t>This rubric provides for faculty a definition for QL and a rubric describing four levels of QL achievement which might be observed in work products within work samples or collections of work.  Members of AAC&amp;U’s rubric development team for QL hope that these materials will aid in the assessment of QL – but, equally important, we hope that they will help institutions and individuals in the effort to more thoroughly embed QL across the curriculum of colleges and universities.</w:t>
      </w:r>
    </w:p>
    <w:p w14:paraId="3BCDFC34" w14:textId="77777777" w:rsidR="00AC003D" w:rsidRDefault="00AC003D" w:rsidP="00AC003D">
      <w:pPr>
        <w:pStyle w:val="Standard"/>
        <w:rPr>
          <w:rFonts w:ascii="Garamond" w:hAnsi="Garamond"/>
          <w:sz w:val="22"/>
          <w:szCs w:val="22"/>
        </w:rPr>
      </w:pPr>
    </w:p>
    <w:p w14:paraId="6851238A" w14:textId="77777777" w:rsidR="00AC003D" w:rsidRDefault="00AC003D" w:rsidP="00AC003D">
      <w:pPr>
        <w:pStyle w:val="Standard"/>
        <w:jc w:val="center"/>
        <w:rPr>
          <w:rFonts w:ascii="Garamond" w:hAnsi="Garamond"/>
          <w:b/>
          <w:bCs/>
          <w:sz w:val="22"/>
          <w:szCs w:val="22"/>
        </w:rPr>
      </w:pPr>
      <w:r>
        <w:rPr>
          <w:rFonts w:ascii="Garamond" w:hAnsi="Garamond"/>
          <w:b/>
          <w:bCs/>
          <w:sz w:val="22"/>
          <w:szCs w:val="22"/>
        </w:rPr>
        <w:t>Framing Language</w:t>
      </w:r>
    </w:p>
    <w:p w14:paraId="0BCD5E5F" w14:textId="77777777" w:rsidR="00AC003D" w:rsidRDefault="00AC003D" w:rsidP="00AC003D">
      <w:pPr>
        <w:pStyle w:val="Standard"/>
        <w:rPr>
          <w:rFonts w:ascii="Garamond" w:hAnsi="Garamond"/>
          <w:sz w:val="22"/>
          <w:szCs w:val="22"/>
        </w:rPr>
      </w:pPr>
      <w:r>
        <w:rPr>
          <w:rFonts w:ascii="Garamond" w:hAnsi="Garamond"/>
          <w:sz w:val="22"/>
          <w:szCs w:val="22"/>
        </w:rPr>
        <w:tab/>
        <w:t xml:space="preserve">This rubric has been designed for the evaluation of work that addresses quantitative literacy (QL) in a substantive way.  QL is not just computation, not just the citing of someone else’s data.  QL is a habit of mind, a way of thinking about the world that relies on data and on the mathematical analysis of data to make connections and draw conclusions.  Teaching QL requires us to design assignments that address authentic, data-based problems.  Such assignments may call for the traditional written paper, but we can imagine other alternatives:  a video of a PowerPoint presentation, perhaps, or a well designed series of web pages.  In any case, a successful demonstration of QL will place the mathematical work in the context of a full and robust discussion of the underlying issues addressed by the assignment.  </w:t>
      </w:r>
    </w:p>
    <w:p w14:paraId="60AA11F1" w14:textId="77777777" w:rsidR="00AC003D" w:rsidRDefault="00AC003D" w:rsidP="00AC003D">
      <w:pPr>
        <w:pStyle w:val="Standard"/>
        <w:rPr>
          <w:rFonts w:ascii="Garamond" w:hAnsi="Garamond"/>
          <w:sz w:val="22"/>
          <w:szCs w:val="22"/>
        </w:rPr>
        <w:sectPr w:rsidR="00AC003D">
          <w:pgSz w:w="20163" w:h="12240" w:orient="landscape"/>
          <w:pgMar w:top="720" w:right="720" w:bottom="720" w:left="720" w:header="720" w:footer="720" w:gutter="0"/>
          <w:cols w:space="720"/>
        </w:sectPr>
      </w:pPr>
      <w:r>
        <w:rPr>
          <w:rFonts w:ascii="Garamond" w:hAnsi="Garamond"/>
          <w:sz w:val="22"/>
          <w:szCs w:val="22"/>
        </w:rPr>
        <w:tab/>
        <w:t>Finally, QL skills can be applied to a wide array of problems of varying difficulty, confounding the use of this rubric.  For example, the same student might demonstrate high levels of QL achievement when working on a simplistic problem and low levels of QL achievement when working on a very complex problem.  Thus, to accurately assess a students QL achievement it may be necessary to measure QL achievement within the context of problem complexity, much as is done in diving competitions where two scores are given, one for the difficulty of the dive, and the other for the skill in accomplishing the dive.  In this context, that would mean giving one score for the complexity of the problem and another score for the QL achievement in solving the problem.</w:t>
      </w:r>
    </w:p>
    <w:tbl>
      <w:tblPr>
        <w:tblW w:w="18586" w:type="dxa"/>
        <w:tblInd w:w="76" w:type="dxa"/>
        <w:tblLayout w:type="fixed"/>
        <w:tblCellMar>
          <w:left w:w="10" w:type="dxa"/>
          <w:right w:w="10" w:type="dxa"/>
        </w:tblCellMar>
        <w:tblLook w:val="0000" w:firstRow="0" w:lastRow="0" w:firstColumn="0" w:lastColumn="0" w:noHBand="0" w:noVBand="0"/>
      </w:tblPr>
      <w:tblGrid>
        <w:gridCol w:w="16704"/>
        <w:gridCol w:w="1882"/>
      </w:tblGrid>
      <w:tr w:rsidR="00AC003D" w14:paraId="0A3E7F32" w14:textId="77777777">
        <w:trPr>
          <w:trHeight w:val="311"/>
        </w:trPr>
        <w:tc>
          <w:tcPr>
            <w:tcW w:w="16704" w:type="dxa"/>
            <w:tcMar>
              <w:top w:w="0" w:type="dxa"/>
              <w:left w:w="0" w:type="dxa"/>
              <w:bottom w:w="0" w:type="dxa"/>
              <w:right w:w="0" w:type="dxa"/>
            </w:tcMar>
          </w:tcPr>
          <w:p w14:paraId="777F2390" w14:textId="77777777" w:rsidR="00AC003D" w:rsidRDefault="00AC003D">
            <w:pPr>
              <w:pStyle w:val="Standard"/>
              <w:snapToGrid w:val="0"/>
              <w:jc w:val="center"/>
              <w:rPr>
                <w:rFonts w:ascii="Garamond" w:hAnsi="Garamond"/>
                <w:sz w:val="40"/>
                <w:szCs w:val="40"/>
              </w:rPr>
            </w:pPr>
            <w:r>
              <w:rPr>
                <w:rFonts w:ascii="Garamond" w:hAnsi="Garamond"/>
                <w:b/>
                <w:smallCaps/>
                <w:color w:val="000000"/>
                <w:sz w:val="40"/>
                <w:szCs w:val="40"/>
                <w:lang w:val="en-US"/>
              </w:rPr>
              <w:t xml:space="preserve">Quantitative Literacy </w:t>
            </w:r>
            <w:r>
              <w:rPr>
                <w:rFonts w:ascii="Garamond" w:hAnsi="Garamond"/>
                <w:b/>
                <w:smallCaps/>
                <w:color w:val="000000"/>
                <w:sz w:val="40"/>
                <w:szCs w:val="40"/>
              </w:rPr>
              <w:t>VALUE Rubric</w:t>
            </w:r>
          </w:p>
          <w:p w14:paraId="6384436C" w14:textId="77777777" w:rsidR="00AC003D" w:rsidRDefault="00AC003D">
            <w:pPr>
              <w:pStyle w:val="Standard"/>
              <w:snapToGrid w:val="0"/>
              <w:jc w:val="center"/>
              <w:rPr>
                <w:rFonts w:ascii="Garamond" w:hAnsi="Garamond"/>
                <w:sz w:val="22"/>
                <w:szCs w:val="22"/>
              </w:rPr>
            </w:pPr>
            <w:r>
              <w:rPr>
                <w:rFonts w:ascii="Garamond" w:eastAsia="Helvetica" w:hAnsi="Garamond" w:cs="Helvetica"/>
                <w:i/>
                <w:sz w:val="22"/>
                <w:szCs w:val="22"/>
                <w:lang w:val="en-US"/>
              </w:rPr>
              <w:t>f</w:t>
            </w:r>
            <w:r>
              <w:rPr>
                <w:rFonts w:ascii="Garamond" w:eastAsia="Helvetica" w:hAnsi="Garamond" w:cs="Helvetica"/>
                <w:i/>
                <w:sz w:val="22"/>
                <w:szCs w:val="22"/>
              </w:rPr>
              <w:t>or more information</w:t>
            </w:r>
            <w:r>
              <w:rPr>
                <w:rFonts w:ascii="Garamond" w:eastAsia="Helvetica" w:hAnsi="Garamond" w:cs="Helvetica"/>
                <w:i/>
                <w:sz w:val="22"/>
                <w:szCs w:val="22"/>
                <w:lang w:val="en-US"/>
              </w:rPr>
              <w:t xml:space="preserve">, </w:t>
            </w:r>
            <w:r>
              <w:rPr>
                <w:rFonts w:ascii="Garamond" w:eastAsia="Helvetica" w:hAnsi="Garamond" w:cs="Helvetica"/>
                <w:i/>
                <w:sz w:val="22"/>
                <w:szCs w:val="22"/>
              </w:rPr>
              <w:t xml:space="preserve">please </w:t>
            </w:r>
            <w:r>
              <w:rPr>
                <w:rFonts w:ascii="Garamond" w:eastAsia="Helvetica" w:hAnsi="Garamond" w:cs="Helvetica"/>
                <w:i/>
                <w:sz w:val="22"/>
                <w:szCs w:val="22"/>
                <w:lang w:val="en-US"/>
              </w:rPr>
              <w:t>contact value</w:t>
            </w:r>
            <w:r>
              <w:rPr>
                <w:rFonts w:ascii="Garamond" w:eastAsia="Helvetica" w:hAnsi="Garamond" w:cs="Helvetica"/>
                <w:i/>
                <w:sz w:val="22"/>
                <w:szCs w:val="22"/>
              </w:rPr>
              <w:t>@</w:t>
            </w:r>
            <w:r>
              <w:rPr>
                <w:rFonts w:ascii="Garamond" w:eastAsia="Helvetica" w:hAnsi="Garamond" w:cs="Helvetica"/>
                <w:i/>
                <w:sz w:val="22"/>
                <w:szCs w:val="22"/>
                <w:lang w:val="en-US"/>
              </w:rPr>
              <w:t>aacu.org</w:t>
            </w:r>
          </w:p>
        </w:tc>
        <w:tc>
          <w:tcPr>
            <w:tcW w:w="1882" w:type="dxa"/>
            <w:tcMar>
              <w:top w:w="0" w:type="dxa"/>
              <w:left w:w="0" w:type="dxa"/>
              <w:bottom w:w="0" w:type="dxa"/>
              <w:right w:w="0" w:type="dxa"/>
            </w:tcMar>
          </w:tcPr>
          <w:p w14:paraId="641B66AA" w14:textId="77777777" w:rsidR="00AC003D" w:rsidRDefault="00AC003D">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2"/>
                <w:szCs w:val="22"/>
              </w:rPr>
            </w:pPr>
            <w:r>
              <w:rPr>
                <w:rFonts w:ascii="Garamond" w:hAnsi="Garamond"/>
                <w:noProof/>
                <w:sz w:val="22"/>
                <w:szCs w:val="22"/>
                <w:lang w:val="en-US"/>
              </w:rPr>
              <w:drawing>
                <wp:inline distT="0" distB="0" distL="0" distR="0" wp14:anchorId="7CCC3345" wp14:editId="40D7D295">
                  <wp:extent cx="1143000" cy="596900"/>
                  <wp:effectExtent l="25400" t="0" r="0" b="0"/>
                  <wp:docPr id="37" name="graphi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
                          <pic:cNvPicPr>
                            <a:picLocks noChangeAspect="1" noChangeArrowheads="1"/>
                          </pic:cNvPicPr>
                        </pic:nvPicPr>
                        <pic:blipFill>
                          <a:blip r:embed="rId12"/>
                          <a:srcRect/>
                          <a:stretch>
                            <a:fillRect/>
                          </a:stretch>
                        </pic:blipFill>
                        <pic:spPr bwMode="auto">
                          <a:xfrm>
                            <a:off x="0" y="0"/>
                            <a:ext cx="1143000" cy="596900"/>
                          </a:xfrm>
                          <a:prstGeom prst="rect">
                            <a:avLst/>
                          </a:prstGeom>
                          <a:solidFill>
                            <a:srgbClr val="FFFFFF"/>
                          </a:solidFill>
                          <a:ln w="9525">
                            <a:noFill/>
                            <a:miter lim="800000"/>
                            <a:headEnd/>
                            <a:tailEnd/>
                          </a:ln>
                        </pic:spPr>
                      </pic:pic>
                    </a:graphicData>
                  </a:graphic>
                </wp:inline>
              </w:drawing>
            </w:r>
          </w:p>
        </w:tc>
      </w:tr>
    </w:tbl>
    <w:p w14:paraId="1AA2692C" w14:textId="77777777" w:rsidR="00AC003D" w:rsidRDefault="00AC003D" w:rsidP="00AC003D">
      <w:pPr>
        <w:pStyle w:val="Standard"/>
        <w:jc w:val="center"/>
        <w:rPr>
          <w:rFonts w:ascii="Garamond" w:hAnsi="Garamond"/>
          <w:i/>
          <w:iCs/>
          <w:sz w:val="19"/>
          <w:szCs w:val="19"/>
        </w:rPr>
      </w:pPr>
    </w:p>
    <w:p w14:paraId="63A985D0" w14:textId="77777777" w:rsidR="00AC003D" w:rsidRDefault="00AC003D" w:rsidP="00AC003D">
      <w:pPr>
        <w:pStyle w:val="Standard"/>
        <w:jc w:val="center"/>
        <w:rPr>
          <w:rFonts w:ascii="Garamond" w:hAnsi="Garamond"/>
          <w:b/>
          <w:bCs/>
          <w:sz w:val="19"/>
          <w:szCs w:val="19"/>
        </w:rPr>
      </w:pPr>
      <w:r>
        <w:rPr>
          <w:rFonts w:ascii="Garamond" w:hAnsi="Garamond"/>
          <w:b/>
          <w:bCs/>
          <w:sz w:val="19"/>
          <w:szCs w:val="19"/>
        </w:rPr>
        <w:t>Definition</w:t>
      </w:r>
    </w:p>
    <w:p w14:paraId="797F6BAE" w14:textId="77777777" w:rsidR="00AC003D" w:rsidRDefault="00AC003D" w:rsidP="00AC003D">
      <w:pPr>
        <w:pStyle w:val="Standard"/>
        <w:rPr>
          <w:rFonts w:ascii="Garamond" w:hAnsi="Garamond"/>
          <w:sz w:val="19"/>
          <w:szCs w:val="19"/>
        </w:rPr>
      </w:pPr>
      <w:r>
        <w:rPr>
          <w:rFonts w:ascii="Garamond" w:hAnsi="Garamond"/>
          <w:sz w:val="19"/>
          <w:szCs w:val="19"/>
        </w:rPr>
        <w:tab/>
        <w:t>Quantitative Literacy (QL) – also known as Numeracy or Quantitative Reasoning (QR) – is a "habit of mind," competency, and comfort in working with numerical data. Individuals with strong QL skills possess the ability to reason and solve quantitative problems from a wide array of authentic contexts and everyday life situations. They understand and can create sophisticated arguments supported by quantitative evidence and they can clearly communicate those arguments in a variety of formats (using words, tables, graphs, mathematical equations, etc., as appropriate).</w:t>
      </w:r>
    </w:p>
    <w:p w14:paraId="2852DA5D" w14:textId="77777777" w:rsidR="00AC003D" w:rsidRDefault="00AC003D" w:rsidP="00AC003D">
      <w:pPr>
        <w:pStyle w:val="Standard"/>
        <w:rPr>
          <w:rFonts w:ascii="Garamond" w:hAnsi="Garamond"/>
          <w:sz w:val="19"/>
          <w:szCs w:val="19"/>
        </w:rPr>
      </w:pPr>
    </w:p>
    <w:p w14:paraId="0D8FE7D9" w14:textId="77777777" w:rsidR="00AC003D" w:rsidRDefault="00AC003D" w:rsidP="00AC003D">
      <w:pPr>
        <w:pStyle w:val="Standard"/>
        <w:jc w:val="center"/>
        <w:rPr>
          <w:rFonts w:ascii="Garamond" w:hAnsi="Garamond"/>
          <w:i/>
          <w:iCs/>
          <w:sz w:val="19"/>
          <w:szCs w:val="19"/>
        </w:rPr>
      </w:pPr>
      <w:r>
        <w:rPr>
          <w:rFonts w:ascii="Garamond" w:hAnsi="Garamond"/>
          <w:i/>
          <w:iCs/>
          <w:sz w:val="19"/>
          <w:szCs w:val="19"/>
        </w:rPr>
        <w:t>Evaluators are encouraged to assign a zero to any work sample or collection of work that does not meet benchmark (cell one) level performance.</w:t>
      </w:r>
    </w:p>
    <w:p w14:paraId="64BE1CF0" w14:textId="77777777" w:rsidR="00AC003D" w:rsidRDefault="00AC003D" w:rsidP="00AC003D">
      <w:pPr>
        <w:pStyle w:val="Standard"/>
        <w:jc w:val="center"/>
        <w:rPr>
          <w:rFonts w:ascii="Garamond" w:hAnsi="Garamond"/>
          <w:sz w:val="19"/>
          <w:szCs w:val="19"/>
        </w:rPr>
      </w:pPr>
    </w:p>
    <w:tbl>
      <w:tblPr>
        <w:tblW w:w="18723" w:type="dxa"/>
        <w:tblInd w:w="45" w:type="dxa"/>
        <w:tblLayout w:type="fixed"/>
        <w:tblCellMar>
          <w:left w:w="10" w:type="dxa"/>
          <w:right w:w="10" w:type="dxa"/>
        </w:tblCellMar>
        <w:tblLook w:val="0000" w:firstRow="0" w:lastRow="0" w:firstColumn="0" w:lastColumn="0" w:noHBand="0" w:noVBand="0"/>
      </w:tblPr>
      <w:tblGrid>
        <w:gridCol w:w="3743"/>
        <w:gridCol w:w="3745"/>
        <w:gridCol w:w="3744"/>
        <w:gridCol w:w="3745"/>
        <w:gridCol w:w="3746"/>
      </w:tblGrid>
      <w:tr w:rsidR="00AC003D" w14:paraId="7808545D" w14:textId="77777777">
        <w:tc>
          <w:tcPr>
            <w:tcW w:w="3744" w:type="dxa"/>
            <w:tcBorders>
              <w:top w:val="single" w:sz="2" w:space="0" w:color="000000"/>
              <w:left w:val="single" w:sz="2" w:space="0" w:color="000000"/>
              <w:bottom w:val="single" w:sz="2" w:space="0" w:color="000000"/>
            </w:tcBorders>
            <w:tcMar>
              <w:top w:w="55" w:type="dxa"/>
              <w:left w:w="55" w:type="dxa"/>
              <w:bottom w:w="55" w:type="dxa"/>
              <w:right w:w="55" w:type="dxa"/>
            </w:tcMar>
          </w:tcPr>
          <w:p w14:paraId="6C690A5D" w14:textId="77777777" w:rsidR="00AC003D" w:rsidRDefault="00AC003D">
            <w:pPr>
              <w:pStyle w:val="Standard"/>
              <w:jc w:val="center"/>
              <w:rPr>
                <w:rFonts w:ascii="Garamond" w:hAnsi="Garamond" w:cs="Garamond"/>
                <w:sz w:val="19"/>
                <w:szCs w:val="19"/>
              </w:rPr>
            </w:pPr>
          </w:p>
        </w:tc>
        <w:tc>
          <w:tcPr>
            <w:tcW w:w="3745" w:type="dxa"/>
            <w:tcBorders>
              <w:top w:val="single" w:sz="2" w:space="0" w:color="000000"/>
              <w:left w:val="single" w:sz="2" w:space="0" w:color="000000"/>
              <w:bottom w:val="single" w:sz="2" w:space="0" w:color="000000"/>
            </w:tcBorders>
            <w:tcMar>
              <w:top w:w="55" w:type="dxa"/>
              <w:left w:w="55" w:type="dxa"/>
              <w:bottom w:w="55" w:type="dxa"/>
              <w:right w:w="55" w:type="dxa"/>
            </w:tcMar>
          </w:tcPr>
          <w:p w14:paraId="14BF7033" w14:textId="77777777" w:rsidR="00AC003D" w:rsidRDefault="00AC003D">
            <w:pPr>
              <w:pStyle w:val="Standard"/>
              <w:jc w:val="center"/>
              <w:rPr>
                <w:rFonts w:ascii="Garamond" w:hAnsi="Garamond" w:cs="Garamond"/>
                <w:b/>
                <w:bCs/>
                <w:sz w:val="19"/>
                <w:szCs w:val="19"/>
              </w:rPr>
            </w:pPr>
            <w:r>
              <w:rPr>
                <w:rFonts w:ascii="Garamond" w:hAnsi="Garamond" w:cs="Garamond"/>
                <w:b/>
                <w:bCs/>
                <w:sz w:val="19"/>
                <w:szCs w:val="19"/>
              </w:rPr>
              <w:t>Capstone</w:t>
            </w:r>
          </w:p>
          <w:p w14:paraId="0F4002E9" w14:textId="77777777" w:rsidR="00AC003D" w:rsidRDefault="00AC003D">
            <w:pPr>
              <w:pStyle w:val="Standard"/>
              <w:jc w:val="center"/>
              <w:rPr>
                <w:rFonts w:ascii="Garamond" w:hAnsi="Garamond" w:cs="Garamond"/>
                <w:sz w:val="19"/>
                <w:szCs w:val="19"/>
              </w:rPr>
            </w:pPr>
            <w:r>
              <w:rPr>
                <w:rFonts w:ascii="Garamond" w:hAnsi="Garamond" w:cs="Garamond"/>
                <w:sz w:val="19"/>
                <w:szCs w:val="19"/>
              </w:rPr>
              <w:t>4</w:t>
            </w:r>
          </w:p>
        </w:tc>
        <w:tc>
          <w:tcPr>
            <w:tcW w:w="7489"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25BC68D5" w14:textId="77777777" w:rsidR="00AC003D" w:rsidRDefault="00AC003D">
            <w:pPr>
              <w:pStyle w:val="Standard"/>
              <w:jc w:val="center"/>
              <w:rPr>
                <w:rFonts w:ascii="Garamond" w:hAnsi="Garamond" w:cs="Garamond"/>
                <w:b/>
                <w:bCs/>
                <w:sz w:val="19"/>
                <w:szCs w:val="19"/>
              </w:rPr>
            </w:pPr>
            <w:r>
              <w:rPr>
                <w:rFonts w:ascii="Garamond" w:hAnsi="Garamond" w:cs="Garamond"/>
                <w:b/>
                <w:bCs/>
                <w:sz w:val="19"/>
                <w:szCs w:val="19"/>
              </w:rPr>
              <w:t>Milestones</w:t>
            </w:r>
          </w:p>
          <w:p w14:paraId="480E7218" w14:textId="77777777" w:rsidR="00AC003D" w:rsidRDefault="00AC003D">
            <w:pPr>
              <w:pStyle w:val="Standard"/>
              <w:jc w:val="center"/>
              <w:rPr>
                <w:rFonts w:ascii="Garamond" w:hAnsi="Garamond" w:cs="Garamond"/>
                <w:sz w:val="19"/>
                <w:szCs w:val="19"/>
              </w:rPr>
            </w:pPr>
            <w:r>
              <w:rPr>
                <w:rFonts w:ascii="Garamond" w:hAnsi="Garamond" w:cs="Garamond"/>
                <w:sz w:val="19"/>
                <w:szCs w:val="19"/>
              </w:rPr>
              <w:t>3</w:t>
            </w:r>
            <w:r>
              <w:rPr>
                <w:rFonts w:ascii="Garamond" w:hAnsi="Garamond" w:cs="Garamond"/>
                <w:sz w:val="19"/>
                <w:szCs w:val="19"/>
              </w:rPr>
              <w:tab/>
            </w:r>
            <w:r>
              <w:rPr>
                <w:rFonts w:ascii="Garamond" w:hAnsi="Garamond" w:cs="Garamond"/>
                <w:sz w:val="19"/>
                <w:szCs w:val="19"/>
              </w:rPr>
              <w:tab/>
            </w:r>
            <w:r>
              <w:rPr>
                <w:rFonts w:ascii="Garamond" w:hAnsi="Garamond" w:cs="Garamond"/>
                <w:sz w:val="19"/>
                <w:szCs w:val="19"/>
              </w:rPr>
              <w:tab/>
            </w:r>
            <w:r>
              <w:rPr>
                <w:rFonts w:ascii="Garamond" w:hAnsi="Garamond" w:cs="Garamond"/>
                <w:sz w:val="19"/>
                <w:szCs w:val="19"/>
              </w:rPr>
              <w:tab/>
            </w:r>
            <w:r>
              <w:rPr>
                <w:rFonts w:ascii="Garamond" w:hAnsi="Garamond" w:cs="Garamond"/>
                <w:sz w:val="19"/>
                <w:szCs w:val="19"/>
              </w:rPr>
              <w:tab/>
              <w:t>2</w:t>
            </w:r>
          </w:p>
        </w:tc>
        <w:tc>
          <w:tcPr>
            <w:tcW w:w="37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D3BDDD4" w14:textId="77777777" w:rsidR="00AC003D" w:rsidRDefault="00AC003D">
            <w:pPr>
              <w:pStyle w:val="Standard"/>
              <w:jc w:val="center"/>
              <w:rPr>
                <w:rFonts w:ascii="Garamond" w:hAnsi="Garamond" w:cs="Garamond"/>
                <w:sz w:val="19"/>
                <w:szCs w:val="19"/>
              </w:rPr>
            </w:pPr>
          </w:p>
          <w:p w14:paraId="2CBA096D" w14:textId="77777777" w:rsidR="00AC003D" w:rsidRDefault="00AC003D">
            <w:pPr>
              <w:pStyle w:val="Standard"/>
              <w:jc w:val="center"/>
              <w:rPr>
                <w:rFonts w:ascii="Garamond" w:hAnsi="Garamond" w:cs="Garamond"/>
                <w:sz w:val="19"/>
                <w:szCs w:val="19"/>
              </w:rPr>
            </w:pPr>
            <w:r>
              <w:rPr>
                <w:rFonts w:ascii="Garamond" w:hAnsi="Garamond" w:cs="Garamond"/>
                <w:sz w:val="19"/>
                <w:szCs w:val="19"/>
              </w:rPr>
              <w:t>1</w:t>
            </w:r>
          </w:p>
        </w:tc>
      </w:tr>
      <w:tr w:rsidR="00AC003D" w14:paraId="6C556077" w14:textId="77777777">
        <w:tc>
          <w:tcPr>
            <w:tcW w:w="3744" w:type="dxa"/>
            <w:tcBorders>
              <w:left w:val="single" w:sz="2" w:space="0" w:color="000000"/>
              <w:bottom w:val="single" w:sz="2" w:space="0" w:color="000000"/>
            </w:tcBorders>
            <w:tcMar>
              <w:top w:w="55" w:type="dxa"/>
              <w:left w:w="55" w:type="dxa"/>
              <w:bottom w:w="55" w:type="dxa"/>
              <w:right w:w="55" w:type="dxa"/>
            </w:tcMar>
          </w:tcPr>
          <w:p w14:paraId="729975B5" w14:textId="77777777" w:rsidR="00AC003D" w:rsidRDefault="00AC003D">
            <w:pPr>
              <w:pStyle w:val="Standard"/>
              <w:rPr>
                <w:rFonts w:ascii="Garamond" w:hAnsi="Garamond" w:cs="Garamond"/>
                <w:b/>
                <w:bCs/>
                <w:sz w:val="19"/>
                <w:szCs w:val="19"/>
              </w:rPr>
            </w:pPr>
            <w:r>
              <w:rPr>
                <w:rFonts w:ascii="Garamond" w:hAnsi="Garamond" w:cs="Garamond"/>
                <w:b/>
                <w:bCs/>
                <w:sz w:val="19"/>
                <w:szCs w:val="19"/>
              </w:rPr>
              <w:t>Interpretation</w:t>
            </w:r>
          </w:p>
          <w:p w14:paraId="04459FC3" w14:textId="77777777" w:rsidR="00AC003D" w:rsidRPr="009A562F" w:rsidRDefault="00AC003D">
            <w:pPr>
              <w:pStyle w:val="Standard"/>
              <w:rPr>
                <w:rFonts w:ascii="Garamond" w:hAnsi="Garamond" w:cs="Garamond"/>
                <w:i/>
                <w:iCs/>
                <w:sz w:val="19"/>
                <w:szCs w:val="19"/>
                <w:lang w:val="en-US"/>
              </w:rPr>
            </w:pPr>
            <w:r>
              <w:rPr>
                <w:rFonts w:ascii="Garamond" w:hAnsi="Garamond" w:cs="Garamond"/>
                <w:i/>
                <w:iCs/>
                <w:sz w:val="19"/>
                <w:szCs w:val="19"/>
              </w:rPr>
              <w:t>Ability to explain information presented in mathematical forms (e.g., equations, graphs, diagrams, tables, words)</w:t>
            </w:r>
          </w:p>
        </w:tc>
        <w:tc>
          <w:tcPr>
            <w:tcW w:w="3745" w:type="dxa"/>
            <w:tcBorders>
              <w:left w:val="single" w:sz="2" w:space="0" w:color="000000"/>
              <w:bottom w:val="single" w:sz="2" w:space="0" w:color="000000"/>
            </w:tcBorders>
            <w:tcMar>
              <w:top w:w="55" w:type="dxa"/>
              <w:left w:w="55" w:type="dxa"/>
              <w:bottom w:w="55" w:type="dxa"/>
              <w:right w:w="55" w:type="dxa"/>
            </w:tcMar>
          </w:tcPr>
          <w:p w14:paraId="7E0EAAD1" w14:textId="77777777" w:rsidR="00AC003D" w:rsidRDefault="00AC003D">
            <w:pPr>
              <w:pStyle w:val="Standard"/>
              <w:rPr>
                <w:rFonts w:ascii="Garamond" w:hAnsi="Garamond" w:cs="Garamond"/>
                <w:sz w:val="19"/>
                <w:szCs w:val="19"/>
              </w:rPr>
            </w:pPr>
            <w:r>
              <w:rPr>
                <w:rFonts w:ascii="Garamond" w:hAnsi="Garamond" w:cs="Garamond"/>
                <w:sz w:val="19"/>
                <w:szCs w:val="19"/>
              </w:rPr>
              <w:t xml:space="preserve">Provides accurate explanations of information presented in mathematical forms. Makes appropriate inferences based on that information. </w:t>
            </w:r>
            <w:r>
              <w:rPr>
                <w:rFonts w:ascii="Garamond" w:hAnsi="Garamond" w:cs="Garamond"/>
                <w:i/>
                <w:iCs/>
                <w:sz w:val="19"/>
                <w:szCs w:val="19"/>
              </w:rPr>
              <w:t>For example, accurately explain</w:t>
            </w:r>
            <w:r>
              <w:rPr>
                <w:rFonts w:ascii="Garamond" w:hAnsi="Garamond" w:cs="Garamond"/>
                <w:i/>
                <w:iCs/>
                <w:sz w:val="19"/>
                <w:szCs w:val="19"/>
                <w:lang w:val="en-US"/>
              </w:rPr>
              <w:t>s</w:t>
            </w:r>
            <w:r>
              <w:rPr>
                <w:rFonts w:ascii="Garamond" w:hAnsi="Garamond" w:cs="Garamond"/>
                <w:i/>
                <w:iCs/>
                <w:sz w:val="19"/>
                <w:szCs w:val="19"/>
              </w:rPr>
              <w:t xml:space="preserve"> the trend data shown in a graph and make</w:t>
            </w:r>
            <w:r>
              <w:rPr>
                <w:rFonts w:ascii="Garamond" w:hAnsi="Garamond" w:cs="Garamond"/>
                <w:i/>
                <w:iCs/>
                <w:sz w:val="19"/>
                <w:szCs w:val="19"/>
                <w:lang w:val="en-US"/>
              </w:rPr>
              <w:t>s</w:t>
            </w:r>
            <w:r>
              <w:rPr>
                <w:rFonts w:ascii="Garamond" w:hAnsi="Garamond" w:cs="Garamond"/>
                <w:i/>
                <w:iCs/>
                <w:sz w:val="19"/>
                <w:szCs w:val="19"/>
              </w:rPr>
              <w:t xml:space="preserve"> reasonable predictions regarding what the data suggest about future events.</w:t>
            </w:r>
          </w:p>
        </w:tc>
        <w:tc>
          <w:tcPr>
            <w:tcW w:w="3744" w:type="dxa"/>
            <w:tcBorders>
              <w:left w:val="single" w:sz="2" w:space="0" w:color="000000"/>
              <w:bottom w:val="single" w:sz="2" w:space="0" w:color="000000"/>
            </w:tcBorders>
            <w:tcMar>
              <w:top w:w="55" w:type="dxa"/>
              <w:left w:w="55" w:type="dxa"/>
              <w:bottom w:w="55" w:type="dxa"/>
              <w:right w:w="55" w:type="dxa"/>
            </w:tcMar>
          </w:tcPr>
          <w:p w14:paraId="13BC0FDC" w14:textId="77777777" w:rsidR="00AC003D" w:rsidRDefault="00AC003D">
            <w:pPr>
              <w:pStyle w:val="Standard"/>
              <w:rPr>
                <w:rFonts w:ascii="Garamond" w:hAnsi="Garamond" w:cs="Garamond"/>
                <w:sz w:val="19"/>
                <w:szCs w:val="19"/>
              </w:rPr>
            </w:pPr>
            <w:r>
              <w:rPr>
                <w:rFonts w:ascii="Garamond" w:hAnsi="Garamond" w:cs="Garamond"/>
                <w:sz w:val="19"/>
                <w:szCs w:val="19"/>
              </w:rPr>
              <w:t xml:space="preserve">Provides accurate explanations of information presented in mathematical forms.  </w:t>
            </w:r>
            <w:r>
              <w:rPr>
                <w:rFonts w:ascii="Garamond" w:hAnsi="Garamond" w:cs="Garamond"/>
                <w:i/>
                <w:iCs/>
                <w:sz w:val="19"/>
                <w:szCs w:val="19"/>
              </w:rPr>
              <w:t>For instance, accurately explain</w:t>
            </w:r>
            <w:r>
              <w:rPr>
                <w:rFonts w:ascii="Garamond" w:hAnsi="Garamond" w:cs="Garamond"/>
                <w:i/>
                <w:iCs/>
                <w:sz w:val="19"/>
                <w:szCs w:val="19"/>
                <w:lang w:val="en-US"/>
              </w:rPr>
              <w:t>s</w:t>
            </w:r>
            <w:r>
              <w:rPr>
                <w:rFonts w:ascii="Garamond" w:hAnsi="Garamond" w:cs="Garamond"/>
                <w:i/>
                <w:iCs/>
                <w:sz w:val="19"/>
                <w:szCs w:val="19"/>
              </w:rPr>
              <w:t xml:space="preserve"> the trend data shown in a graph.</w:t>
            </w:r>
          </w:p>
        </w:tc>
        <w:tc>
          <w:tcPr>
            <w:tcW w:w="3745" w:type="dxa"/>
            <w:tcBorders>
              <w:left w:val="single" w:sz="2" w:space="0" w:color="000000"/>
              <w:bottom w:val="single" w:sz="2" w:space="0" w:color="000000"/>
            </w:tcBorders>
            <w:tcMar>
              <w:top w:w="55" w:type="dxa"/>
              <w:left w:w="55" w:type="dxa"/>
              <w:bottom w:w="55" w:type="dxa"/>
              <w:right w:w="55" w:type="dxa"/>
            </w:tcMar>
          </w:tcPr>
          <w:p w14:paraId="30B92F2F" w14:textId="77777777" w:rsidR="00AC003D" w:rsidRDefault="00AC003D">
            <w:pPr>
              <w:pStyle w:val="Standard"/>
              <w:rPr>
                <w:rFonts w:ascii="Garamond" w:hAnsi="Garamond" w:cs="Garamond"/>
                <w:sz w:val="19"/>
                <w:szCs w:val="19"/>
              </w:rPr>
            </w:pPr>
            <w:r>
              <w:rPr>
                <w:rFonts w:ascii="Garamond" w:hAnsi="Garamond" w:cs="Garamond"/>
                <w:sz w:val="19"/>
                <w:szCs w:val="19"/>
              </w:rPr>
              <w:t xml:space="preserve">Provides somewhat accurate explanations of information presented in mathematical forms, but occasionally makes minor errors related to computations or units.  </w:t>
            </w:r>
            <w:r>
              <w:rPr>
                <w:rFonts w:ascii="Garamond" w:hAnsi="Garamond" w:cs="Garamond"/>
                <w:i/>
                <w:iCs/>
                <w:sz w:val="19"/>
                <w:szCs w:val="19"/>
              </w:rPr>
              <w:t>For instance, accurately explain</w:t>
            </w:r>
            <w:r>
              <w:rPr>
                <w:rFonts w:ascii="Garamond" w:hAnsi="Garamond" w:cs="Garamond"/>
                <w:i/>
                <w:iCs/>
                <w:sz w:val="19"/>
                <w:szCs w:val="19"/>
                <w:lang w:val="en-US"/>
              </w:rPr>
              <w:t>s</w:t>
            </w:r>
            <w:r>
              <w:rPr>
                <w:rFonts w:ascii="Garamond" w:hAnsi="Garamond" w:cs="Garamond"/>
                <w:i/>
                <w:iCs/>
                <w:sz w:val="19"/>
                <w:szCs w:val="19"/>
              </w:rPr>
              <w:t xml:space="preserve"> trend data shown in a graph, but may miscalculate the slope of the trend line.</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53E3C2" w14:textId="77777777" w:rsidR="00AC003D" w:rsidRDefault="00AC003D">
            <w:pPr>
              <w:pStyle w:val="Standard"/>
              <w:rPr>
                <w:rFonts w:ascii="Garamond" w:hAnsi="Garamond" w:cs="Garamond"/>
                <w:sz w:val="19"/>
                <w:szCs w:val="19"/>
              </w:rPr>
            </w:pPr>
            <w:r>
              <w:rPr>
                <w:rFonts w:ascii="Garamond" w:hAnsi="Garamond" w:cs="Garamond"/>
                <w:sz w:val="19"/>
                <w:szCs w:val="19"/>
              </w:rPr>
              <w:t xml:space="preserve">Attempts to explain information presented in mathematical forms, but draws incorrect conclusions about what the information means.  </w:t>
            </w:r>
            <w:r>
              <w:rPr>
                <w:rFonts w:ascii="Garamond" w:hAnsi="Garamond" w:cs="Garamond"/>
                <w:i/>
                <w:iCs/>
                <w:sz w:val="19"/>
                <w:szCs w:val="19"/>
              </w:rPr>
              <w:t>For example, attempt</w:t>
            </w:r>
            <w:r>
              <w:rPr>
                <w:rFonts w:ascii="Garamond" w:hAnsi="Garamond" w:cs="Garamond"/>
                <w:i/>
                <w:iCs/>
                <w:sz w:val="19"/>
                <w:szCs w:val="19"/>
                <w:lang w:val="en-US"/>
              </w:rPr>
              <w:t>s</w:t>
            </w:r>
            <w:r>
              <w:rPr>
                <w:rFonts w:ascii="Garamond" w:hAnsi="Garamond" w:cs="Garamond"/>
                <w:i/>
                <w:iCs/>
                <w:sz w:val="19"/>
                <w:szCs w:val="19"/>
              </w:rPr>
              <w:t xml:space="preserve"> to explain the trend data shown in a graph, but will frequently misinterpret the nature of that trend, perhaps by confusing positive and negative trends.</w:t>
            </w:r>
          </w:p>
        </w:tc>
      </w:tr>
      <w:tr w:rsidR="00AC003D" w14:paraId="13C3A6FA" w14:textId="77777777">
        <w:tc>
          <w:tcPr>
            <w:tcW w:w="3744" w:type="dxa"/>
            <w:tcBorders>
              <w:left w:val="single" w:sz="2" w:space="0" w:color="000000"/>
              <w:bottom w:val="single" w:sz="2" w:space="0" w:color="000000"/>
            </w:tcBorders>
            <w:tcMar>
              <w:top w:w="55" w:type="dxa"/>
              <w:left w:w="55" w:type="dxa"/>
              <w:bottom w:w="55" w:type="dxa"/>
              <w:right w:w="55" w:type="dxa"/>
            </w:tcMar>
          </w:tcPr>
          <w:p w14:paraId="2262B104" w14:textId="77777777" w:rsidR="00AC003D" w:rsidRDefault="00AC003D">
            <w:pPr>
              <w:pStyle w:val="Standard"/>
              <w:rPr>
                <w:rFonts w:ascii="Garamond" w:hAnsi="Garamond" w:cs="Garamond"/>
                <w:b/>
                <w:bCs/>
                <w:sz w:val="19"/>
                <w:szCs w:val="19"/>
              </w:rPr>
            </w:pPr>
            <w:r>
              <w:rPr>
                <w:rFonts w:ascii="Garamond" w:hAnsi="Garamond" w:cs="Garamond"/>
                <w:b/>
                <w:bCs/>
                <w:sz w:val="19"/>
                <w:szCs w:val="19"/>
              </w:rPr>
              <w:t>Representation</w:t>
            </w:r>
          </w:p>
          <w:p w14:paraId="3F2D9CA0" w14:textId="77777777" w:rsidR="00AC003D" w:rsidRPr="009A562F" w:rsidRDefault="00AC003D">
            <w:pPr>
              <w:pStyle w:val="Standard"/>
              <w:rPr>
                <w:rFonts w:ascii="Garamond" w:hAnsi="Garamond" w:cs="Garamond"/>
                <w:i/>
                <w:iCs/>
                <w:sz w:val="19"/>
                <w:szCs w:val="19"/>
                <w:lang w:val="en-US"/>
              </w:rPr>
            </w:pPr>
            <w:r>
              <w:rPr>
                <w:rFonts w:ascii="Garamond" w:hAnsi="Garamond" w:cs="Garamond"/>
                <w:i/>
                <w:iCs/>
                <w:sz w:val="19"/>
                <w:szCs w:val="19"/>
              </w:rPr>
              <w:t>Ability to convert relevant information into various mathematical forms (e.g., equations, graphs, diagrams, tables, words)</w:t>
            </w:r>
          </w:p>
        </w:tc>
        <w:tc>
          <w:tcPr>
            <w:tcW w:w="3745" w:type="dxa"/>
            <w:tcBorders>
              <w:left w:val="single" w:sz="2" w:space="0" w:color="000000"/>
              <w:bottom w:val="single" w:sz="2" w:space="0" w:color="000000"/>
            </w:tcBorders>
            <w:tcMar>
              <w:top w:w="55" w:type="dxa"/>
              <w:left w:w="55" w:type="dxa"/>
              <w:bottom w:w="55" w:type="dxa"/>
              <w:right w:w="55" w:type="dxa"/>
            </w:tcMar>
          </w:tcPr>
          <w:p w14:paraId="53DE8C7A" w14:textId="77777777" w:rsidR="00AC003D" w:rsidRDefault="00AC003D">
            <w:pPr>
              <w:pStyle w:val="Standard"/>
              <w:rPr>
                <w:rFonts w:ascii="Garamond" w:hAnsi="Garamond" w:cs="Garamond"/>
                <w:sz w:val="19"/>
                <w:szCs w:val="19"/>
              </w:rPr>
            </w:pPr>
            <w:r>
              <w:rPr>
                <w:rFonts w:ascii="Garamond" w:hAnsi="Garamond" w:cs="Garamond"/>
                <w:sz w:val="19"/>
                <w:szCs w:val="19"/>
              </w:rPr>
              <w:t>Skillfully converts relevant information into an insightful mathematical portrayal in a way that contributes to a further or deeper understanding.</w:t>
            </w:r>
          </w:p>
        </w:tc>
        <w:tc>
          <w:tcPr>
            <w:tcW w:w="3744" w:type="dxa"/>
            <w:tcBorders>
              <w:left w:val="single" w:sz="2" w:space="0" w:color="000000"/>
              <w:bottom w:val="single" w:sz="2" w:space="0" w:color="000000"/>
            </w:tcBorders>
            <w:tcMar>
              <w:top w:w="55" w:type="dxa"/>
              <w:left w:w="55" w:type="dxa"/>
              <w:bottom w:w="55" w:type="dxa"/>
              <w:right w:w="55" w:type="dxa"/>
            </w:tcMar>
          </w:tcPr>
          <w:p w14:paraId="1BC002CF" w14:textId="77777777" w:rsidR="00AC003D" w:rsidRDefault="00AC003D">
            <w:pPr>
              <w:pStyle w:val="Standard"/>
              <w:rPr>
                <w:rFonts w:ascii="Garamond" w:hAnsi="Garamond" w:cs="Garamond"/>
                <w:sz w:val="19"/>
                <w:szCs w:val="19"/>
              </w:rPr>
            </w:pPr>
            <w:r>
              <w:rPr>
                <w:rFonts w:ascii="Garamond" w:hAnsi="Garamond" w:cs="Garamond"/>
                <w:sz w:val="19"/>
                <w:szCs w:val="19"/>
              </w:rPr>
              <w:t>Competently converts relevant information into an appropriate and desired mathematical portrayal.</w:t>
            </w:r>
          </w:p>
        </w:tc>
        <w:tc>
          <w:tcPr>
            <w:tcW w:w="3745" w:type="dxa"/>
            <w:tcBorders>
              <w:left w:val="single" w:sz="2" w:space="0" w:color="000000"/>
              <w:bottom w:val="single" w:sz="2" w:space="0" w:color="000000"/>
            </w:tcBorders>
            <w:tcMar>
              <w:top w:w="55" w:type="dxa"/>
              <w:left w:w="55" w:type="dxa"/>
              <w:bottom w:w="55" w:type="dxa"/>
              <w:right w:w="55" w:type="dxa"/>
            </w:tcMar>
          </w:tcPr>
          <w:p w14:paraId="3038748D" w14:textId="77777777" w:rsidR="00AC003D" w:rsidRDefault="00AC003D">
            <w:pPr>
              <w:pStyle w:val="Standard"/>
              <w:rPr>
                <w:rFonts w:ascii="Garamond" w:hAnsi="Garamond" w:cs="Garamond"/>
                <w:sz w:val="19"/>
                <w:szCs w:val="19"/>
              </w:rPr>
            </w:pPr>
            <w:r>
              <w:rPr>
                <w:rFonts w:ascii="Garamond" w:hAnsi="Garamond" w:cs="Garamond"/>
                <w:sz w:val="19"/>
                <w:szCs w:val="19"/>
              </w:rPr>
              <w:t>Completes conversion of information but resulting mathematical portrayal is only partially appropriate or accurate.</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DC054A" w14:textId="77777777" w:rsidR="00AC003D" w:rsidRDefault="00AC003D">
            <w:pPr>
              <w:pStyle w:val="Standard"/>
              <w:rPr>
                <w:rFonts w:ascii="Garamond" w:hAnsi="Garamond" w:cs="Garamond"/>
                <w:sz w:val="19"/>
                <w:szCs w:val="19"/>
              </w:rPr>
            </w:pPr>
            <w:r>
              <w:rPr>
                <w:rFonts w:ascii="Garamond" w:hAnsi="Garamond" w:cs="Garamond"/>
                <w:sz w:val="19"/>
                <w:szCs w:val="19"/>
              </w:rPr>
              <w:t>Completes conversion of information but resulting mathematical portrayal is inappropriate or inaccurate.</w:t>
            </w:r>
          </w:p>
        </w:tc>
      </w:tr>
      <w:tr w:rsidR="00AC003D" w14:paraId="186BB57E" w14:textId="77777777">
        <w:tc>
          <w:tcPr>
            <w:tcW w:w="3744" w:type="dxa"/>
            <w:tcBorders>
              <w:left w:val="single" w:sz="2" w:space="0" w:color="000000"/>
              <w:bottom w:val="single" w:sz="2" w:space="0" w:color="000000"/>
            </w:tcBorders>
            <w:tcMar>
              <w:top w:w="55" w:type="dxa"/>
              <w:left w:w="55" w:type="dxa"/>
              <w:bottom w:w="55" w:type="dxa"/>
              <w:right w:w="55" w:type="dxa"/>
            </w:tcMar>
          </w:tcPr>
          <w:p w14:paraId="53E9760C" w14:textId="77777777" w:rsidR="00AC003D" w:rsidRDefault="00AC003D">
            <w:pPr>
              <w:pStyle w:val="Standard"/>
              <w:rPr>
                <w:rFonts w:ascii="Garamond" w:hAnsi="Garamond" w:cs="Garamond"/>
                <w:b/>
                <w:bCs/>
                <w:sz w:val="19"/>
                <w:szCs w:val="19"/>
              </w:rPr>
            </w:pPr>
            <w:r>
              <w:rPr>
                <w:rFonts w:ascii="Garamond" w:hAnsi="Garamond" w:cs="Garamond"/>
                <w:b/>
                <w:bCs/>
                <w:sz w:val="19"/>
                <w:szCs w:val="19"/>
              </w:rPr>
              <w:t>Calculation</w:t>
            </w:r>
          </w:p>
        </w:tc>
        <w:tc>
          <w:tcPr>
            <w:tcW w:w="3745" w:type="dxa"/>
            <w:tcBorders>
              <w:left w:val="single" w:sz="2" w:space="0" w:color="000000"/>
              <w:bottom w:val="single" w:sz="2" w:space="0" w:color="000000"/>
            </w:tcBorders>
            <w:tcMar>
              <w:top w:w="55" w:type="dxa"/>
              <w:left w:w="55" w:type="dxa"/>
              <w:bottom w:w="55" w:type="dxa"/>
              <w:right w:w="55" w:type="dxa"/>
            </w:tcMar>
          </w:tcPr>
          <w:p w14:paraId="3E629CAA" w14:textId="77777777" w:rsidR="00AC003D" w:rsidRDefault="00AC003D">
            <w:pPr>
              <w:pStyle w:val="Standard"/>
              <w:rPr>
                <w:rFonts w:ascii="Garamond" w:hAnsi="Garamond" w:cs="Garamond"/>
                <w:sz w:val="19"/>
                <w:szCs w:val="19"/>
              </w:rPr>
            </w:pPr>
            <w:r>
              <w:rPr>
                <w:rFonts w:ascii="Garamond" w:hAnsi="Garamond" w:cs="Garamond"/>
                <w:sz w:val="19"/>
                <w:szCs w:val="19"/>
              </w:rPr>
              <w:t>Calculations attempted are essentially all successful and sufficiently comprehensive to solve the problem. Calculations are also presented elegantly (clearly, concisely, etc.)</w:t>
            </w:r>
          </w:p>
        </w:tc>
        <w:tc>
          <w:tcPr>
            <w:tcW w:w="3744" w:type="dxa"/>
            <w:tcBorders>
              <w:left w:val="single" w:sz="2" w:space="0" w:color="000000"/>
              <w:bottom w:val="single" w:sz="2" w:space="0" w:color="000000"/>
            </w:tcBorders>
            <w:tcMar>
              <w:top w:w="55" w:type="dxa"/>
              <w:left w:w="55" w:type="dxa"/>
              <w:bottom w:w="55" w:type="dxa"/>
              <w:right w:w="55" w:type="dxa"/>
            </w:tcMar>
          </w:tcPr>
          <w:p w14:paraId="6820EFEF" w14:textId="77777777" w:rsidR="00AC003D" w:rsidRDefault="00AC003D">
            <w:pPr>
              <w:pStyle w:val="Standard"/>
              <w:rPr>
                <w:rFonts w:ascii="Garamond" w:hAnsi="Garamond" w:cs="Garamond"/>
                <w:sz w:val="19"/>
                <w:szCs w:val="19"/>
              </w:rPr>
            </w:pPr>
            <w:r>
              <w:rPr>
                <w:rFonts w:ascii="Garamond" w:hAnsi="Garamond" w:cs="Garamond"/>
                <w:sz w:val="19"/>
                <w:szCs w:val="19"/>
              </w:rPr>
              <w:t>Calculations attempted are essentially all successful and sufficiently comprehensive to solve the problem.</w:t>
            </w:r>
          </w:p>
        </w:tc>
        <w:tc>
          <w:tcPr>
            <w:tcW w:w="3745" w:type="dxa"/>
            <w:tcBorders>
              <w:left w:val="single" w:sz="2" w:space="0" w:color="000000"/>
              <w:bottom w:val="single" w:sz="2" w:space="0" w:color="000000"/>
            </w:tcBorders>
            <w:tcMar>
              <w:top w:w="55" w:type="dxa"/>
              <w:left w:w="55" w:type="dxa"/>
              <w:bottom w:w="55" w:type="dxa"/>
              <w:right w:w="55" w:type="dxa"/>
            </w:tcMar>
          </w:tcPr>
          <w:p w14:paraId="52A19D48" w14:textId="77777777" w:rsidR="00AC003D" w:rsidRDefault="00AC003D">
            <w:pPr>
              <w:pStyle w:val="Standard"/>
              <w:rPr>
                <w:rFonts w:ascii="Garamond" w:hAnsi="Garamond" w:cs="Garamond"/>
                <w:sz w:val="19"/>
                <w:szCs w:val="19"/>
              </w:rPr>
            </w:pPr>
            <w:r>
              <w:rPr>
                <w:rFonts w:ascii="Garamond" w:hAnsi="Garamond" w:cs="Garamond"/>
                <w:sz w:val="19"/>
                <w:szCs w:val="19"/>
              </w:rPr>
              <w:t>Calculations attempted are either unsuccessful or</w:t>
            </w:r>
          </w:p>
          <w:p w14:paraId="1D1BBDDB" w14:textId="77777777" w:rsidR="00AC003D" w:rsidRDefault="00AC003D">
            <w:pPr>
              <w:pStyle w:val="Standard"/>
              <w:rPr>
                <w:rFonts w:ascii="Garamond" w:hAnsi="Garamond" w:cs="Garamond"/>
                <w:sz w:val="19"/>
                <w:szCs w:val="19"/>
              </w:rPr>
            </w:pPr>
            <w:r>
              <w:rPr>
                <w:rFonts w:ascii="Garamond" w:hAnsi="Garamond" w:cs="Garamond"/>
                <w:sz w:val="19"/>
                <w:szCs w:val="19"/>
              </w:rPr>
              <w:t xml:space="preserve">represent only a portion of the calculations required to comprehensively solve the problem. </w:t>
            </w:r>
            <w:r>
              <w:rPr>
                <w:rFonts w:ascii="Papyrus" w:hAnsi="Papyrus" w:cs="Papyrus"/>
                <w:sz w:val="19"/>
                <w:szCs w:val="19"/>
              </w:rPr>
              <w:t>﻿</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4F4736" w14:textId="77777777" w:rsidR="00AC003D" w:rsidRDefault="00AC003D">
            <w:pPr>
              <w:pStyle w:val="Standard"/>
              <w:rPr>
                <w:rFonts w:ascii="Garamond" w:hAnsi="Garamond" w:cs="Garamond"/>
                <w:sz w:val="19"/>
                <w:szCs w:val="19"/>
              </w:rPr>
            </w:pPr>
            <w:r>
              <w:rPr>
                <w:rFonts w:ascii="Garamond" w:hAnsi="Garamond" w:cs="Garamond"/>
                <w:sz w:val="19"/>
                <w:szCs w:val="19"/>
              </w:rPr>
              <w:t>Calculations are attempted but are both unsuccessful and are not comprehensive.</w:t>
            </w:r>
          </w:p>
        </w:tc>
      </w:tr>
      <w:tr w:rsidR="00AC003D" w14:paraId="4CBCEC28" w14:textId="77777777">
        <w:tc>
          <w:tcPr>
            <w:tcW w:w="3744" w:type="dxa"/>
            <w:tcBorders>
              <w:left w:val="single" w:sz="2" w:space="0" w:color="000000"/>
              <w:bottom w:val="single" w:sz="2" w:space="0" w:color="000000"/>
            </w:tcBorders>
            <w:tcMar>
              <w:top w:w="55" w:type="dxa"/>
              <w:left w:w="55" w:type="dxa"/>
              <w:bottom w:w="55" w:type="dxa"/>
              <w:right w:w="55" w:type="dxa"/>
            </w:tcMar>
          </w:tcPr>
          <w:p w14:paraId="771E5233" w14:textId="77777777" w:rsidR="00AC003D" w:rsidRDefault="00AC003D">
            <w:pPr>
              <w:pStyle w:val="Standard"/>
              <w:rPr>
                <w:rFonts w:ascii="Garamond" w:hAnsi="Garamond" w:cs="Garamond"/>
                <w:b/>
                <w:bCs/>
                <w:sz w:val="19"/>
                <w:szCs w:val="19"/>
              </w:rPr>
            </w:pPr>
            <w:r>
              <w:rPr>
                <w:rFonts w:ascii="Garamond" w:hAnsi="Garamond" w:cs="Garamond"/>
                <w:b/>
                <w:bCs/>
                <w:sz w:val="19"/>
                <w:szCs w:val="19"/>
              </w:rPr>
              <w:t>Application / Analysis</w:t>
            </w:r>
          </w:p>
          <w:p w14:paraId="61446DE7" w14:textId="77777777" w:rsidR="00AC003D" w:rsidRPr="009A562F" w:rsidRDefault="00AC003D">
            <w:pPr>
              <w:pStyle w:val="Standard"/>
              <w:rPr>
                <w:rFonts w:ascii="Garamond" w:hAnsi="Garamond" w:cs="Garamond"/>
                <w:i/>
                <w:iCs/>
                <w:sz w:val="19"/>
                <w:szCs w:val="19"/>
                <w:lang w:val="en-US"/>
              </w:rPr>
            </w:pPr>
            <w:r>
              <w:rPr>
                <w:rFonts w:ascii="Garamond" w:hAnsi="Garamond" w:cs="Garamond"/>
                <w:i/>
                <w:iCs/>
                <w:sz w:val="19"/>
                <w:szCs w:val="19"/>
              </w:rPr>
              <w:t>Ability to make judgments and draw appropriate conclusions based on the quantitative analysis of data, while recognizing the limits of this analysis</w:t>
            </w:r>
          </w:p>
        </w:tc>
        <w:tc>
          <w:tcPr>
            <w:tcW w:w="3745" w:type="dxa"/>
            <w:tcBorders>
              <w:left w:val="single" w:sz="2" w:space="0" w:color="000000"/>
              <w:bottom w:val="single" w:sz="2" w:space="0" w:color="000000"/>
            </w:tcBorders>
            <w:tcMar>
              <w:top w:w="55" w:type="dxa"/>
              <w:left w:w="55" w:type="dxa"/>
              <w:bottom w:w="55" w:type="dxa"/>
              <w:right w:w="55" w:type="dxa"/>
            </w:tcMar>
          </w:tcPr>
          <w:p w14:paraId="19392F08" w14:textId="77777777" w:rsidR="00AC003D" w:rsidRDefault="00AC003D">
            <w:pPr>
              <w:pStyle w:val="Standard"/>
              <w:rPr>
                <w:rFonts w:ascii="Garamond" w:hAnsi="Garamond" w:cs="Garamond"/>
                <w:sz w:val="19"/>
                <w:szCs w:val="19"/>
              </w:rPr>
            </w:pPr>
            <w:r>
              <w:rPr>
                <w:rFonts w:ascii="Garamond" w:hAnsi="Garamond" w:cs="Garamond"/>
                <w:sz w:val="19"/>
                <w:szCs w:val="19"/>
              </w:rPr>
              <w:t>Uses the quantitative analysis of data as the basis for deep and thoughtful judgments, drawing insightful, carefully qualified conclusions from this work.</w:t>
            </w:r>
          </w:p>
        </w:tc>
        <w:tc>
          <w:tcPr>
            <w:tcW w:w="3744" w:type="dxa"/>
            <w:tcBorders>
              <w:left w:val="single" w:sz="2" w:space="0" w:color="000000"/>
              <w:bottom w:val="single" w:sz="2" w:space="0" w:color="000000"/>
            </w:tcBorders>
            <w:tcMar>
              <w:top w:w="55" w:type="dxa"/>
              <w:left w:w="55" w:type="dxa"/>
              <w:bottom w:w="55" w:type="dxa"/>
              <w:right w:w="55" w:type="dxa"/>
            </w:tcMar>
          </w:tcPr>
          <w:p w14:paraId="41CDFFE7" w14:textId="77777777" w:rsidR="00AC003D" w:rsidRDefault="00AC003D">
            <w:pPr>
              <w:pStyle w:val="Standard"/>
              <w:rPr>
                <w:rFonts w:ascii="Garamond" w:hAnsi="Garamond" w:cs="Garamond"/>
                <w:sz w:val="19"/>
                <w:szCs w:val="19"/>
              </w:rPr>
            </w:pPr>
            <w:r>
              <w:rPr>
                <w:rFonts w:ascii="Garamond" w:hAnsi="Garamond" w:cs="Garamond"/>
                <w:sz w:val="19"/>
                <w:szCs w:val="19"/>
              </w:rPr>
              <w:t>Uses the quantitative analysis of data as the basis for competent judgments, drawing reasonable and appropriately qualified conclusions from this work.</w:t>
            </w:r>
          </w:p>
        </w:tc>
        <w:tc>
          <w:tcPr>
            <w:tcW w:w="3745" w:type="dxa"/>
            <w:tcBorders>
              <w:left w:val="single" w:sz="2" w:space="0" w:color="000000"/>
              <w:bottom w:val="single" w:sz="2" w:space="0" w:color="000000"/>
            </w:tcBorders>
            <w:tcMar>
              <w:top w:w="55" w:type="dxa"/>
              <w:left w:w="55" w:type="dxa"/>
              <w:bottom w:w="55" w:type="dxa"/>
              <w:right w:w="55" w:type="dxa"/>
            </w:tcMar>
          </w:tcPr>
          <w:p w14:paraId="16DF0B06" w14:textId="77777777" w:rsidR="00AC003D" w:rsidRDefault="00AC003D">
            <w:pPr>
              <w:pStyle w:val="Standard"/>
              <w:rPr>
                <w:rFonts w:ascii="Garamond" w:hAnsi="Garamond" w:cs="Garamond"/>
                <w:sz w:val="19"/>
                <w:szCs w:val="19"/>
              </w:rPr>
            </w:pPr>
            <w:r>
              <w:rPr>
                <w:rFonts w:ascii="Garamond" w:hAnsi="Garamond" w:cs="Garamond"/>
                <w:sz w:val="19"/>
                <w:szCs w:val="19"/>
              </w:rPr>
              <w:t>Uses the quantitative analysis of data as the basis for workmanlike (without inspiration or nuance, ordinary) judgments, drawing plausible conclusions from this work.</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B6B150" w14:textId="77777777" w:rsidR="00AC003D" w:rsidRDefault="00AC003D">
            <w:pPr>
              <w:pStyle w:val="Standard"/>
              <w:rPr>
                <w:rFonts w:ascii="Garamond" w:hAnsi="Garamond" w:cs="Garamond"/>
                <w:sz w:val="19"/>
                <w:szCs w:val="19"/>
              </w:rPr>
            </w:pPr>
            <w:r>
              <w:rPr>
                <w:rFonts w:ascii="Garamond" w:hAnsi="Garamond" w:cs="Garamond"/>
                <w:sz w:val="19"/>
                <w:szCs w:val="19"/>
              </w:rPr>
              <w:t>Uses the quantitative analysis of data as the basis for tentative, basic judgments, although is hesitant or uncertain about drawing conclusions from this work.</w:t>
            </w:r>
          </w:p>
        </w:tc>
      </w:tr>
      <w:tr w:rsidR="00AC003D" w14:paraId="3EC0439B" w14:textId="77777777">
        <w:tc>
          <w:tcPr>
            <w:tcW w:w="3744" w:type="dxa"/>
            <w:tcBorders>
              <w:left w:val="single" w:sz="2" w:space="0" w:color="000000"/>
              <w:bottom w:val="single" w:sz="2" w:space="0" w:color="000000"/>
            </w:tcBorders>
            <w:tcMar>
              <w:top w:w="55" w:type="dxa"/>
              <w:left w:w="55" w:type="dxa"/>
              <w:bottom w:w="55" w:type="dxa"/>
              <w:right w:w="55" w:type="dxa"/>
            </w:tcMar>
          </w:tcPr>
          <w:p w14:paraId="06BC86D0" w14:textId="77777777" w:rsidR="00AC003D" w:rsidRDefault="00AC003D">
            <w:pPr>
              <w:pStyle w:val="Standard"/>
              <w:rPr>
                <w:rFonts w:ascii="Garamond" w:hAnsi="Garamond" w:cs="Garamond"/>
                <w:b/>
                <w:bCs/>
                <w:sz w:val="19"/>
                <w:szCs w:val="19"/>
              </w:rPr>
            </w:pPr>
            <w:r>
              <w:rPr>
                <w:rFonts w:ascii="Garamond" w:hAnsi="Garamond" w:cs="Garamond"/>
                <w:b/>
                <w:bCs/>
                <w:sz w:val="19"/>
                <w:szCs w:val="19"/>
              </w:rPr>
              <w:t>Assumptions</w:t>
            </w:r>
          </w:p>
          <w:p w14:paraId="098C8998" w14:textId="77777777" w:rsidR="00AC003D" w:rsidRPr="009A562F" w:rsidRDefault="00AC003D">
            <w:pPr>
              <w:pStyle w:val="Standard"/>
              <w:rPr>
                <w:rFonts w:ascii="Garamond" w:hAnsi="Garamond" w:cs="Garamond"/>
                <w:i/>
                <w:iCs/>
                <w:sz w:val="19"/>
                <w:szCs w:val="19"/>
                <w:lang w:val="en-US"/>
              </w:rPr>
            </w:pPr>
            <w:r>
              <w:rPr>
                <w:rFonts w:ascii="Garamond" w:hAnsi="Garamond" w:cs="Garamond"/>
                <w:i/>
                <w:iCs/>
                <w:sz w:val="19"/>
                <w:szCs w:val="19"/>
              </w:rPr>
              <w:t>Ability to make and evaluate important assumptions in estimation, modeling, and data analysis</w:t>
            </w:r>
          </w:p>
        </w:tc>
        <w:tc>
          <w:tcPr>
            <w:tcW w:w="3745" w:type="dxa"/>
            <w:tcBorders>
              <w:left w:val="single" w:sz="2" w:space="0" w:color="000000"/>
              <w:bottom w:val="single" w:sz="2" w:space="0" w:color="000000"/>
            </w:tcBorders>
            <w:tcMar>
              <w:top w:w="55" w:type="dxa"/>
              <w:left w:w="55" w:type="dxa"/>
              <w:bottom w:w="55" w:type="dxa"/>
              <w:right w:w="55" w:type="dxa"/>
            </w:tcMar>
          </w:tcPr>
          <w:p w14:paraId="6F875040" w14:textId="77777777" w:rsidR="00AC003D" w:rsidRDefault="00AC003D">
            <w:pPr>
              <w:pStyle w:val="Standard"/>
              <w:rPr>
                <w:rFonts w:ascii="Garamond" w:hAnsi="Garamond" w:cs="Garamond"/>
                <w:sz w:val="19"/>
                <w:szCs w:val="19"/>
              </w:rPr>
            </w:pPr>
            <w:r>
              <w:rPr>
                <w:rFonts w:ascii="Garamond" w:hAnsi="Garamond" w:cs="Garamond"/>
                <w:sz w:val="19"/>
                <w:szCs w:val="19"/>
              </w:rPr>
              <w:t>Explicitly describes assumptions and provides compelling rationale for why each assumption is appropriate.  Shows awareness that confidence in final conclusions is limited by the accuracy of the assumptions.</w:t>
            </w:r>
          </w:p>
        </w:tc>
        <w:tc>
          <w:tcPr>
            <w:tcW w:w="3744" w:type="dxa"/>
            <w:tcBorders>
              <w:left w:val="single" w:sz="2" w:space="0" w:color="000000"/>
              <w:bottom w:val="single" w:sz="2" w:space="0" w:color="000000"/>
            </w:tcBorders>
            <w:tcMar>
              <w:top w:w="55" w:type="dxa"/>
              <w:left w:w="55" w:type="dxa"/>
              <w:bottom w:w="55" w:type="dxa"/>
              <w:right w:w="55" w:type="dxa"/>
            </w:tcMar>
          </w:tcPr>
          <w:p w14:paraId="351EA4C2" w14:textId="77777777" w:rsidR="00AC003D" w:rsidRDefault="00AC003D">
            <w:pPr>
              <w:pStyle w:val="Standard"/>
              <w:rPr>
                <w:rFonts w:ascii="Garamond" w:hAnsi="Garamond" w:cs="Garamond"/>
                <w:sz w:val="19"/>
                <w:szCs w:val="19"/>
              </w:rPr>
            </w:pPr>
            <w:r>
              <w:rPr>
                <w:rFonts w:ascii="Garamond" w:hAnsi="Garamond" w:cs="Garamond"/>
                <w:sz w:val="19"/>
                <w:szCs w:val="19"/>
              </w:rPr>
              <w:t>Explicitly describes assumptions and provides compelling rationale for why assumptions are appropriate.</w:t>
            </w:r>
          </w:p>
        </w:tc>
        <w:tc>
          <w:tcPr>
            <w:tcW w:w="3745" w:type="dxa"/>
            <w:tcBorders>
              <w:left w:val="single" w:sz="2" w:space="0" w:color="000000"/>
              <w:bottom w:val="single" w:sz="2" w:space="0" w:color="000000"/>
            </w:tcBorders>
            <w:tcMar>
              <w:top w:w="55" w:type="dxa"/>
              <w:left w:w="55" w:type="dxa"/>
              <w:bottom w:w="55" w:type="dxa"/>
              <w:right w:w="55" w:type="dxa"/>
            </w:tcMar>
          </w:tcPr>
          <w:p w14:paraId="73A3638A" w14:textId="77777777" w:rsidR="00AC003D" w:rsidRDefault="00AC003D">
            <w:pPr>
              <w:pStyle w:val="Standard"/>
              <w:rPr>
                <w:rFonts w:ascii="Garamond" w:hAnsi="Garamond" w:cs="Garamond"/>
                <w:sz w:val="19"/>
                <w:szCs w:val="19"/>
              </w:rPr>
            </w:pPr>
            <w:r>
              <w:rPr>
                <w:rFonts w:ascii="Garamond" w:hAnsi="Garamond" w:cs="Garamond"/>
                <w:sz w:val="19"/>
                <w:szCs w:val="19"/>
              </w:rPr>
              <w:t>Explicitly describes assumptions.</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2EA6C2" w14:textId="77777777" w:rsidR="00AC003D" w:rsidRDefault="00AC003D">
            <w:pPr>
              <w:pStyle w:val="Standard"/>
              <w:rPr>
                <w:rFonts w:ascii="Garamond" w:hAnsi="Garamond" w:cs="Garamond"/>
                <w:sz w:val="19"/>
                <w:szCs w:val="19"/>
              </w:rPr>
            </w:pPr>
            <w:r>
              <w:rPr>
                <w:rFonts w:ascii="Garamond" w:hAnsi="Garamond" w:cs="Garamond"/>
                <w:sz w:val="19"/>
                <w:szCs w:val="19"/>
              </w:rPr>
              <w:t>Attempts to describe assumptions.</w:t>
            </w:r>
          </w:p>
        </w:tc>
      </w:tr>
      <w:tr w:rsidR="00AC003D" w14:paraId="556F6EC1" w14:textId="77777777">
        <w:tc>
          <w:tcPr>
            <w:tcW w:w="3744" w:type="dxa"/>
            <w:tcBorders>
              <w:left w:val="single" w:sz="2" w:space="0" w:color="000000"/>
              <w:bottom w:val="single" w:sz="2" w:space="0" w:color="000000"/>
            </w:tcBorders>
            <w:tcMar>
              <w:top w:w="55" w:type="dxa"/>
              <w:left w:w="55" w:type="dxa"/>
              <w:bottom w:w="55" w:type="dxa"/>
              <w:right w:w="55" w:type="dxa"/>
            </w:tcMar>
          </w:tcPr>
          <w:p w14:paraId="70EE770F" w14:textId="77777777" w:rsidR="00AC003D" w:rsidRDefault="00AC003D">
            <w:pPr>
              <w:pStyle w:val="Standard"/>
              <w:rPr>
                <w:rFonts w:ascii="Garamond" w:hAnsi="Garamond" w:cs="Garamond"/>
                <w:b/>
                <w:bCs/>
                <w:sz w:val="19"/>
                <w:szCs w:val="19"/>
              </w:rPr>
            </w:pPr>
            <w:r>
              <w:rPr>
                <w:rFonts w:ascii="Garamond" w:hAnsi="Garamond" w:cs="Garamond"/>
                <w:b/>
                <w:bCs/>
                <w:sz w:val="19"/>
                <w:szCs w:val="19"/>
              </w:rPr>
              <w:t>Communication</w:t>
            </w:r>
          </w:p>
          <w:p w14:paraId="075A6DEB" w14:textId="77777777" w:rsidR="00AC003D" w:rsidRPr="009A562F" w:rsidRDefault="00AC003D">
            <w:pPr>
              <w:pStyle w:val="Standard"/>
              <w:rPr>
                <w:rFonts w:ascii="Garamond" w:hAnsi="Garamond" w:cs="Garamond"/>
                <w:i/>
                <w:iCs/>
                <w:sz w:val="19"/>
                <w:szCs w:val="19"/>
                <w:lang w:val="en-US"/>
              </w:rPr>
            </w:pPr>
            <w:r>
              <w:rPr>
                <w:rFonts w:ascii="Garamond" w:hAnsi="Garamond" w:cs="Garamond"/>
                <w:i/>
                <w:iCs/>
                <w:sz w:val="19"/>
                <w:szCs w:val="19"/>
              </w:rPr>
              <w:t>Expressing quantitative evidence in support of the argument or purpose of the work (in terms of what evidence is used and how it is formatted, presented, and contextualized)</w:t>
            </w:r>
          </w:p>
        </w:tc>
        <w:tc>
          <w:tcPr>
            <w:tcW w:w="3745" w:type="dxa"/>
            <w:tcBorders>
              <w:left w:val="single" w:sz="2" w:space="0" w:color="000000"/>
              <w:bottom w:val="single" w:sz="2" w:space="0" w:color="000000"/>
            </w:tcBorders>
            <w:tcMar>
              <w:top w:w="55" w:type="dxa"/>
              <w:left w:w="55" w:type="dxa"/>
              <w:bottom w:w="55" w:type="dxa"/>
              <w:right w:w="55" w:type="dxa"/>
            </w:tcMar>
          </w:tcPr>
          <w:p w14:paraId="33378067" w14:textId="77777777" w:rsidR="00AC003D" w:rsidRDefault="00AC003D">
            <w:pPr>
              <w:pStyle w:val="Standard"/>
              <w:rPr>
                <w:rFonts w:ascii="Garamond" w:hAnsi="Garamond" w:cs="Garamond"/>
                <w:sz w:val="19"/>
                <w:szCs w:val="19"/>
              </w:rPr>
            </w:pPr>
            <w:r>
              <w:rPr>
                <w:rFonts w:ascii="Garamond" w:hAnsi="Garamond" w:cs="Garamond"/>
                <w:sz w:val="19"/>
                <w:szCs w:val="19"/>
              </w:rPr>
              <w:t>Uses quantitative information in connection with the argument or purpose of the work, presents it in an effective format, and explicates it with consistently high quality.</w:t>
            </w:r>
          </w:p>
        </w:tc>
        <w:tc>
          <w:tcPr>
            <w:tcW w:w="3744" w:type="dxa"/>
            <w:tcBorders>
              <w:left w:val="single" w:sz="2" w:space="0" w:color="000000"/>
              <w:bottom w:val="single" w:sz="2" w:space="0" w:color="000000"/>
            </w:tcBorders>
            <w:tcMar>
              <w:top w:w="55" w:type="dxa"/>
              <w:left w:w="55" w:type="dxa"/>
              <w:bottom w:w="55" w:type="dxa"/>
              <w:right w:w="55" w:type="dxa"/>
            </w:tcMar>
          </w:tcPr>
          <w:p w14:paraId="7345B373" w14:textId="77777777" w:rsidR="00AC003D" w:rsidRDefault="00AC003D">
            <w:pPr>
              <w:pStyle w:val="Standard"/>
              <w:rPr>
                <w:rFonts w:ascii="Garamond" w:hAnsi="Garamond" w:cs="Garamond"/>
                <w:sz w:val="19"/>
                <w:szCs w:val="19"/>
              </w:rPr>
            </w:pPr>
            <w:r>
              <w:rPr>
                <w:rFonts w:ascii="Garamond" w:hAnsi="Garamond" w:cs="Garamond"/>
                <w:sz w:val="19"/>
                <w:szCs w:val="19"/>
              </w:rPr>
              <w:t>Uses quantitative information in connection with the argument or purpose of the work, though data may be presented in a less than completely effective format or some parts of the explication may be uneven.</w:t>
            </w:r>
          </w:p>
        </w:tc>
        <w:tc>
          <w:tcPr>
            <w:tcW w:w="3745" w:type="dxa"/>
            <w:tcBorders>
              <w:left w:val="single" w:sz="2" w:space="0" w:color="000000"/>
              <w:bottom w:val="single" w:sz="2" w:space="0" w:color="000000"/>
            </w:tcBorders>
            <w:tcMar>
              <w:top w:w="55" w:type="dxa"/>
              <w:left w:w="55" w:type="dxa"/>
              <w:bottom w:w="55" w:type="dxa"/>
              <w:right w:w="55" w:type="dxa"/>
            </w:tcMar>
          </w:tcPr>
          <w:p w14:paraId="54024048" w14:textId="77777777" w:rsidR="00AC003D" w:rsidRDefault="00AC003D">
            <w:pPr>
              <w:pStyle w:val="Standard"/>
              <w:rPr>
                <w:rFonts w:ascii="Garamond" w:hAnsi="Garamond" w:cs="Garamond"/>
                <w:sz w:val="19"/>
                <w:szCs w:val="19"/>
              </w:rPr>
            </w:pPr>
            <w:r>
              <w:rPr>
                <w:rFonts w:ascii="Garamond" w:hAnsi="Garamond" w:cs="Garamond"/>
                <w:sz w:val="19"/>
                <w:szCs w:val="19"/>
              </w:rPr>
              <w:t>Uses quantitative information, but does not effectively connect it to the argument or purpose of the work.</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68ED95" w14:textId="77777777" w:rsidR="00AC003D" w:rsidRDefault="00AC003D">
            <w:pPr>
              <w:pStyle w:val="Standard"/>
              <w:rPr>
                <w:rFonts w:ascii="Garamond" w:hAnsi="Garamond" w:cs="Garamond"/>
                <w:sz w:val="19"/>
                <w:szCs w:val="19"/>
              </w:rPr>
            </w:pPr>
            <w:r>
              <w:rPr>
                <w:rFonts w:ascii="Garamond" w:hAnsi="Garamond" w:cs="Garamond"/>
                <w:sz w:val="19"/>
                <w:szCs w:val="19"/>
              </w:rPr>
              <w:t>Presents an argument for which quantitative evidence is pertinent, but does not provide adequate explicit numerical support.  (May use quasi-quantitative words such as "many," "few," "increasing," "small," and the like in place of actual quantities.)</w:t>
            </w:r>
          </w:p>
        </w:tc>
      </w:tr>
    </w:tbl>
    <w:p w14:paraId="2EF8C53F" w14:textId="77777777" w:rsidR="001B5BB5" w:rsidRPr="00123F82" w:rsidRDefault="001B5BB5" w:rsidP="00123F82">
      <w:pPr>
        <w:pStyle w:val="Title"/>
        <w:jc w:val="left"/>
        <w:rPr>
          <w:b w:val="0"/>
          <w:sz w:val="32"/>
          <w:szCs w:val="32"/>
        </w:rPr>
      </w:pPr>
    </w:p>
    <w:p w14:paraId="18B3C147" w14:textId="77777777" w:rsidR="001B5BB5" w:rsidRDefault="001B5BB5" w:rsidP="001B5BB5">
      <w:pPr>
        <w:rPr>
          <w:b/>
        </w:rPr>
      </w:pPr>
    </w:p>
    <w:p w14:paraId="430A8DE5" w14:textId="77777777" w:rsidR="00A93E3B" w:rsidRPr="00C701E4" w:rsidRDefault="00776013" w:rsidP="00A93E3B">
      <w:pPr>
        <w:rPr>
          <w:b/>
        </w:rPr>
      </w:pPr>
      <w:r>
        <w:rPr>
          <w:b/>
        </w:rPr>
        <w:t xml:space="preserve">Results of Assessments </w:t>
      </w:r>
      <w:r w:rsidR="00A93E3B" w:rsidRPr="00C701E4">
        <w:rPr>
          <w:b/>
        </w:rPr>
        <w:t>Administered to Students</w:t>
      </w:r>
    </w:p>
    <w:p w14:paraId="06F26083" w14:textId="77777777" w:rsidR="00A93E3B" w:rsidRDefault="00A93E3B" w:rsidP="00A93E3B"/>
    <w:p w14:paraId="1B6D3EA9" w14:textId="77777777" w:rsidR="00A93E3B" w:rsidRDefault="00A93E3B" w:rsidP="00A93E3B">
      <w:pPr>
        <w:pStyle w:val="ListParagraph"/>
        <w:numPr>
          <w:ilvl w:val="0"/>
          <w:numId w:val="22"/>
        </w:numPr>
      </w:pPr>
      <w:r w:rsidRPr="00C5167E">
        <w:rPr>
          <w:b/>
        </w:rPr>
        <w:t>499R, Senior Thesis</w:t>
      </w:r>
      <w:r>
        <w:t xml:space="preserve">. We assessed several learning goals in the context of 499R, Senior Thesis. First, the Lawrence University Capstone Rubric assesses </w:t>
      </w:r>
      <w:r w:rsidRPr="00714EE0">
        <w:rPr>
          <w:b/>
        </w:rPr>
        <w:t>Values in Psychology</w:t>
      </w:r>
      <w:r>
        <w:t xml:space="preserve"> (items 6, 10), and </w:t>
      </w:r>
      <w:r w:rsidRPr="00714EE0">
        <w:rPr>
          <w:b/>
        </w:rPr>
        <w:t>Critical Thinking</w:t>
      </w:r>
      <w:r>
        <w:t xml:space="preserve"> in Psychology (items 1, 2), </w:t>
      </w:r>
      <w:r w:rsidRPr="00714EE0">
        <w:rPr>
          <w:b/>
        </w:rPr>
        <w:t>Research Methods</w:t>
      </w:r>
      <w:r>
        <w:t xml:space="preserve"> (items 7, 8 9), and </w:t>
      </w:r>
      <w:r w:rsidRPr="007F3902">
        <w:rPr>
          <w:b/>
        </w:rPr>
        <w:t>Communication Skills</w:t>
      </w:r>
      <w:r>
        <w:t xml:space="preserve"> (items 3, 4, 5), and overall capstone performance. The LEAP Oral Communication rubric assesses </w:t>
      </w:r>
      <w:r w:rsidRPr="00714EE0">
        <w:rPr>
          <w:b/>
        </w:rPr>
        <w:t>Critical Thinking</w:t>
      </w:r>
      <w:r>
        <w:t xml:space="preserve"> in item 4, and overall Capstone performance. Finally, the Psychology Department has administered its own ‘Senior Survey’ in Psyx 499R since 2005 (with 2 years omitted) to gauge </w:t>
      </w:r>
      <w:r w:rsidRPr="00D11733">
        <w:rPr>
          <w:b/>
        </w:rPr>
        <w:t>student satisfaction</w:t>
      </w:r>
      <w:r>
        <w:t xml:space="preserve"> with different aspects of the major, as well </w:t>
      </w:r>
      <w:r w:rsidRPr="006B243F">
        <w:rPr>
          <w:b/>
        </w:rPr>
        <w:t>as job/career intentions post-graduation</w:t>
      </w:r>
      <w:r>
        <w:t xml:space="preserve">. </w:t>
      </w:r>
    </w:p>
    <w:p w14:paraId="49098E4B" w14:textId="77777777" w:rsidR="00A93E3B" w:rsidRDefault="00A93E3B" w:rsidP="00A93E3B"/>
    <w:p w14:paraId="0EA4B63B" w14:textId="77777777" w:rsidR="00A93E3B" w:rsidRDefault="00A93E3B" w:rsidP="00A93E3B">
      <w:pPr>
        <w:pStyle w:val="ListParagraph"/>
        <w:numPr>
          <w:ilvl w:val="1"/>
          <w:numId w:val="22"/>
        </w:numPr>
      </w:pPr>
      <w:r w:rsidRPr="00C07431">
        <w:rPr>
          <w:b/>
        </w:rPr>
        <w:t>Lawrence University Capstone rubric</w:t>
      </w:r>
      <w:r>
        <w:t xml:space="preserve">. </w:t>
      </w:r>
    </w:p>
    <w:p w14:paraId="5FEFA6E2" w14:textId="77777777" w:rsidR="00A93E3B" w:rsidRDefault="00A93E3B" w:rsidP="00A93E3B">
      <w:pPr>
        <w:pStyle w:val="ListParagraph"/>
        <w:numPr>
          <w:ilvl w:val="2"/>
          <w:numId w:val="22"/>
        </w:numPr>
      </w:pPr>
      <w:r>
        <w:t xml:space="preserve">For Fall 2011 and Spring 2012 principal components analysis showed that the items loaded on a single factor, and that the smallest loading was .67 for Q10. The single factor accounted for 72% of variance in the data space. Therefore, we summed each student’s scores across the 10 items to create a composite score representing overall capstone accomplishment. </w:t>
      </w:r>
    </w:p>
    <w:p w14:paraId="07E227D0" w14:textId="77777777" w:rsidR="00A93E3B" w:rsidRDefault="00A93E3B" w:rsidP="00A93E3B">
      <w:pPr>
        <w:pStyle w:val="ListParagraph"/>
        <w:numPr>
          <w:ilvl w:val="3"/>
          <w:numId w:val="22"/>
        </w:numPr>
      </w:pPr>
      <w:r>
        <w:t xml:space="preserve">The </w:t>
      </w:r>
      <w:r w:rsidRPr="00033E55">
        <w:rPr>
          <w:b/>
        </w:rPr>
        <w:t>composite scores</w:t>
      </w:r>
      <w:r>
        <w:t xml:space="preserve"> ranged from 1.8 to 7.0. The mean was 5.54 and the median was 5.75, on a 7-point scale.  These central tendency measures indicate that on average our students are performing well in their senior capstone projects.  </w:t>
      </w:r>
    </w:p>
    <w:p w14:paraId="0A1E05C5" w14:textId="77777777" w:rsidR="00A93E3B" w:rsidRDefault="00A93E3B" w:rsidP="00A93E3B">
      <w:pPr>
        <w:pStyle w:val="ListParagraph"/>
        <w:numPr>
          <w:ilvl w:val="3"/>
          <w:numId w:val="22"/>
        </w:numPr>
      </w:pPr>
      <w:r>
        <w:t xml:space="preserve"> The frequency distribution (Fig 1) shows a strong mode between 5 and 6, which shows very good performance. The cumulative frequency distribution (Fig 2) shows that 75% of the students score 4.5 or above. The midpoint of the scale is 4.0. </w:t>
      </w:r>
    </w:p>
    <w:p w14:paraId="3CD01AAD" w14:textId="77777777" w:rsidR="00A93E3B" w:rsidRDefault="00A93E3B" w:rsidP="00A93E3B">
      <w:pPr>
        <w:pStyle w:val="ListParagraph"/>
        <w:numPr>
          <w:ilvl w:val="2"/>
          <w:numId w:val="22"/>
        </w:numPr>
      </w:pPr>
      <w:r>
        <w:t xml:space="preserve">The </w:t>
      </w:r>
      <w:r w:rsidRPr="009E67B4">
        <w:rPr>
          <w:b/>
        </w:rPr>
        <w:t>Values in Psychology</w:t>
      </w:r>
      <w:r>
        <w:t xml:space="preserve"> assessment includes items 6 and 10 of this rubric. Item #6 had a mode at 7, and 84% of the students scored 5 or above. Item #10 on Diversity had a mode of 6, and 66% of the students scored 5 or above. </w:t>
      </w:r>
    </w:p>
    <w:p w14:paraId="169C3CF6" w14:textId="77777777" w:rsidR="00A93E3B" w:rsidRDefault="00A93E3B" w:rsidP="00A93E3B">
      <w:pPr>
        <w:pStyle w:val="ListParagraph"/>
        <w:numPr>
          <w:ilvl w:val="2"/>
          <w:numId w:val="22"/>
        </w:numPr>
      </w:pPr>
      <w:r>
        <w:t xml:space="preserve">The </w:t>
      </w:r>
      <w:r w:rsidRPr="009E67B4">
        <w:rPr>
          <w:b/>
        </w:rPr>
        <w:t>Critical Thinking</w:t>
      </w:r>
      <w:r>
        <w:t xml:space="preserve"> items are #1 and #2. The means on these items were 5.4 and 5.5 respectively, and the median and mode were 6.0 on both items. This is very good performance on critical thinking. Only 1 student scored below 4 on either of these items. </w:t>
      </w:r>
    </w:p>
    <w:p w14:paraId="02DB623E" w14:textId="77777777" w:rsidR="00A93E3B" w:rsidRDefault="00A93E3B" w:rsidP="00A93E3B">
      <w:pPr>
        <w:pStyle w:val="ListParagraph"/>
        <w:numPr>
          <w:ilvl w:val="2"/>
          <w:numId w:val="22"/>
        </w:numPr>
      </w:pPr>
      <w:r>
        <w:t xml:space="preserve">The </w:t>
      </w:r>
      <w:r w:rsidRPr="004C0FB6">
        <w:rPr>
          <w:b/>
        </w:rPr>
        <w:t>Research Methods</w:t>
      </w:r>
      <w:r>
        <w:t xml:space="preserve"> items (#s 7, 8, 9) had means of 5.3, 5.6, and 5.6 respectively. The modes were 5, 7, and 6, while the medians were 5, 6, and 6. One student scored below 4 on item #7, 2 on item #8, and 2 on item #9. </w:t>
      </w:r>
    </w:p>
    <w:p w14:paraId="355492D5" w14:textId="77777777" w:rsidR="00A93E3B" w:rsidRDefault="00A93E3B" w:rsidP="00A93E3B">
      <w:pPr>
        <w:pStyle w:val="ListParagraph"/>
        <w:numPr>
          <w:ilvl w:val="2"/>
          <w:numId w:val="22"/>
        </w:numPr>
      </w:pPr>
      <w:r>
        <w:t xml:space="preserve">The </w:t>
      </w:r>
      <w:r w:rsidRPr="001A604F">
        <w:rPr>
          <w:b/>
        </w:rPr>
        <w:t>Communication Skills</w:t>
      </w:r>
      <w:r>
        <w:t xml:space="preserve"> items (#s 3, 4, 5) showed means of 5.7, 5.7 and 5.4, respectively. The modes and medians were 6 for all three items (on a 7 point scale).  </w:t>
      </w:r>
    </w:p>
    <w:p w14:paraId="0891B29A" w14:textId="77777777" w:rsidR="00A93E3B" w:rsidRDefault="00A93E3B" w:rsidP="00A93E3B"/>
    <w:p w14:paraId="587D716B" w14:textId="77777777" w:rsidR="00A93E3B" w:rsidRDefault="00A93E3B" w:rsidP="00A93E3B">
      <w:r>
        <w:rPr>
          <w:noProof/>
        </w:rPr>
        <w:drawing>
          <wp:inline distT="0" distB="0" distL="0" distR="0" wp14:anchorId="32B662FD" wp14:editId="1A005AFB">
            <wp:extent cx="3652644" cy="3657600"/>
            <wp:effectExtent l="25400" t="0" r="0" b="0"/>
            <wp:docPr id="1" name="Picture 0" descr="RplotLawrenceSrThesisF11Spr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LawrenceSrThesisF11Spr12.pdf"/>
                    <pic:cNvPicPr/>
                  </pic:nvPicPr>
                  <pic:blipFill>
                    <a:blip r:embed="rId13"/>
                    <a:stretch>
                      <a:fillRect/>
                    </a:stretch>
                  </pic:blipFill>
                  <pic:spPr>
                    <a:xfrm>
                      <a:off x="0" y="0"/>
                      <a:ext cx="3652644" cy="3657600"/>
                    </a:xfrm>
                    <a:prstGeom prst="rect">
                      <a:avLst/>
                    </a:prstGeom>
                  </pic:spPr>
                </pic:pic>
              </a:graphicData>
            </a:graphic>
          </wp:inline>
        </w:drawing>
      </w:r>
      <w:r>
        <w:rPr>
          <w:noProof/>
        </w:rPr>
        <w:drawing>
          <wp:inline distT="0" distB="0" distL="0" distR="0" wp14:anchorId="1AAF0536" wp14:editId="47679AAB">
            <wp:extent cx="3652644" cy="3657600"/>
            <wp:effectExtent l="25400" t="0" r="0" b="0"/>
            <wp:docPr id="2" name="Picture 1" descr="RplotLawrenceSrCumulF11S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LawrenceSrCumulF11S12.pdf"/>
                    <pic:cNvPicPr/>
                  </pic:nvPicPr>
                  <pic:blipFill>
                    <a:blip r:embed="rId14"/>
                    <a:stretch>
                      <a:fillRect/>
                    </a:stretch>
                  </pic:blipFill>
                  <pic:spPr>
                    <a:xfrm>
                      <a:off x="0" y="0"/>
                      <a:ext cx="3652644" cy="3657600"/>
                    </a:xfrm>
                    <a:prstGeom prst="rect">
                      <a:avLst/>
                    </a:prstGeom>
                  </pic:spPr>
                </pic:pic>
              </a:graphicData>
            </a:graphic>
          </wp:inline>
        </w:drawing>
      </w:r>
    </w:p>
    <w:p w14:paraId="5F750DE8" w14:textId="77777777" w:rsidR="00A93E3B" w:rsidRDefault="00A93E3B" w:rsidP="00A93E3B"/>
    <w:p w14:paraId="28A356AC" w14:textId="77777777" w:rsidR="00A93E3B" w:rsidRDefault="00A93E3B" w:rsidP="00A93E3B">
      <w:r>
        <w:tab/>
        <w:t>Figure 1. Lawrence University rubric frequency distn</w:t>
      </w:r>
      <w:r>
        <w:tab/>
      </w:r>
      <w:r>
        <w:tab/>
        <w:t>Figure 2. Lawrence University rubric cumulative frequency</w:t>
      </w:r>
    </w:p>
    <w:p w14:paraId="1D40D2B6" w14:textId="77777777" w:rsidR="00A93E3B" w:rsidRDefault="00A93E3B" w:rsidP="00A93E3B"/>
    <w:p w14:paraId="5AE05BDE" w14:textId="77777777" w:rsidR="00A93E3B" w:rsidRDefault="00A93E3B" w:rsidP="00A93E3B">
      <w:pPr>
        <w:pStyle w:val="ListParagraph"/>
        <w:numPr>
          <w:ilvl w:val="1"/>
          <w:numId w:val="22"/>
        </w:numPr>
      </w:pPr>
      <w:r>
        <w:t>LEAP Oral Communication rubric.</w:t>
      </w:r>
    </w:p>
    <w:p w14:paraId="6C3145FD" w14:textId="77777777" w:rsidR="00A93E3B" w:rsidRDefault="00A93E3B" w:rsidP="00A93E3B">
      <w:pPr>
        <w:pStyle w:val="ListParagraph"/>
        <w:numPr>
          <w:ilvl w:val="2"/>
          <w:numId w:val="22"/>
        </w:numPr>
      </w:pPr>
      <w:r w:rsidRPr="00A91476">
        <w:rPr>
          <w:b/>
        </w:rPr>
        <w:t>Overall capstone performance.</w:t>
      </w:r>
      <w:r>
        <w:t xml:space="preserve"> For Fall 2011 and Spring 2012 principal components analysis showed that the 5 items loaded on a single factor, and that the smallest loading was .71 for Q3. The single factor accounted for 72% of variance in the data space. Therefore, we summed each student’s scores across the 5 items to create a composite score representing capstone accomplishment across the key dimensions. The means of all items except #2, Language, were above 3.0. Figures 3 and 4 plot the histogram and cumulative distribution of the LEAP oral communication rubric. </w:t>
      </w:r>
    </w:p>
    <w:p w14:paraId="3956DBCB" w14:textId="77777777" w:rsidR="00A93E3B" w:rsidRDefault="00A93E3B" w:rsidP="00A93E3B">
      <w:pPr>
        <w:pStyle w:val="ListParagraph"/>
        <w:numPr>
          <w:ilvl w:val="2"/>
          <w:numId w:val="22"/>
        </w:numPr>
      </w:pPr>
      <w:r w:rsidRPr="00A91476">
        <w:rPr>
          <w:b/>
        </w:rPr>
        <w:t>Critical Thinking</w:t>
      </w:r>
      <w:r>
        <w:t xml:space="preserve"> on the LEAP rubric is item #4, ‘Supporting Material’. The mean was 3.14 (on a scale of 4), and the median and modes were 3.0. Fours students were rated a ‘2’ on the this item. </w:t>
      </w:r>
    </w:p>
    <w:p w14:paraId="543ACF57" w14:textId="77777777" w:rsidR="00A93E3B" w:rsidRDefault="00A93E3B" w:rsidP="00A93E3B">
      <w:pPr>
        <w:pStyle w:val="ListParagraph"/>
        <w:numPr>
          <w:ilvl w:val="2"/>
          <w:numId w:val="22"/>
        </w:numPr>
      </w:pPr>
      <w:r w:rsidRPr="00EE600B">
        <w:rPr>
          <w:b/>
        </w:rPr>
        <w:t>Communication Skills</w:t>
      </w:r>
      <w:r>
        <w:t xml:space="preserve"> are assessed in items 1,2,3, and 5. The means on these items were all above 3 on a 4 point scale (3.3, 3.5, 3.1, 3.3, respectivel</w:t>
      </w:r>
      <w:r w:rsidR="008E37F0">
        <w:t>y), and the medians were all 3</w:t>
      </w:r>
    </w:p>
    <w:p w14:paraId="6F311937" w14:textId="77777777" w:rsidR="00A93E3B" w:rsidRDefault="00A93E3B" w:rsidP="00A93E3B"/>
    <w:p w14:paraId="49A1404D" w14:textId="77777777" w:rsidR="00A93E3B" w:rsidRDefault="00A93E3B" w:rsidP="00A93E3B"/>
    <w:p w14:paraId="4A2CA469" w14:textId="77777777" w:rsidR="00A93E3B" w:rsidRDefault="00A93E3B" w:rsidP="00A93E3B"/>
    <w:p w14:paraId="2DAC3334" w14:textId="77777777" w:rsidR="00A93E3B" w:rsidRDefault="00A93E3B" w:rsidP="00A93E3B">
      <w:r>
        <w:rPr>
          <w:noProof/>
        </w:rPr>
        <w:drawing>
          <wp:inline distT="0" distB="0" distL="0" distR="0" wp14:anchorId="6CA578D8" wp14:editId="2319F7CC">
            <wp:extent cx="3652644" cy="3657600"/>
            <wp:effectExtent l="25400" t="0" r="0" b="0"/>
            <wp:docPr id="4" name="Picture 3" descr="RplotLeapSrThesisHistogF11Spr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LeapSrThesisHistogF11Spr12.pdf"/>
                    <pic:cNvPicPr/>
                  </pic:nvPicPr>
                  <pic:blipFill>
                    <a:blip r:embed="rId15"/>
                    <a:stretch>
                      <a:fillRect/>
                    </a:stretch>
                  </pic:blipFill>
                  <pic:spPr>
                    <a:xfrm>
                      <a:off x="0" y="0"/>
                      <a:ext cx="3652644" cy="3657600"/>
                    </a:xfrm>
                    <a:prstGeom prst="rect">
                      <a:avLst/>
                    </a:prstGeom>
                  </pic:spPr>
                </pic:pic>
              </a:graphicData>
            </a:graphic>
          </wp:inline>
        </w:drawing>
      </w:r>
      <w:r>
        <w:rPr>
          <w:noProof/>
        </w:rPr>
        <w:drawing>
          <wp:inline distT="0" distB="0" distL="0" distR="0" wp14:anchorId="3644145E" wp14:editId="6CCE2A05">
            <wp:extent cx="3652644" cy="3657600"/>
            <wp:effectExtent l="25400" t="0" r="0" b="0"/>
            <wp:docPr id="3" name="Picture 2" descr="RplotLeapSrThesisF11Spr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LeapSrThesisF11Spr12.pdf"/>
                    <pic:cNvPicPr/>
                  </pic:nvPicPr>
                  <pic:blipFill>
                    <a:blip r:embed="rId16"/>
                    <a:stretch>
                      <a:fillRect/>
                    </a:stretch>
                  </pic:blipFill>
                  <pic:spPr>
                    <a:xfrm>
                      <a:off x="0" y="0"/>
                      <a:ext cx="3652644" cy="3657600"/>
                    </a:xfrm>
                    <a:prstGeom prst="rect">
                      <a:avLst/>
                    </a:prstGeom>
                  </pic:spPr>
                </pic:pic>
              </a:graphicData>
            </a:graphic>
          </wp:inline>
        </w:drawing>
      </w:r>
    </w:p>
    <w:p w14:paraId="42350A50" w14:textId="77777777" w:rsidR="00A93E3B" w:rsidRDefault="00A93E3B" w:rsidP="00A93E3B">
      <w:r>
        <w:tab/>
        <w:t>Figure 3. Frequency dist’n of LEAP</w:t>
      </w:r>
      <w:r>
        <w:tab/>
      </w:r>
      <w:r>
        <w:tab/>
      </w:r>
      <w:r>
        <w:tab/>
      </w:r>
      <w:r>
        <w:tab/>
        <w:t>Figure 4. Cumulative frequency dist’n of LEAP</w:t>
      </w:r>
    </w:p>
    <w:p w14:paraId="07D9704A" w14:textId="77777777" w:rsidR="00A93E3B" w:rsidRDefault="00A93E3B" w:rsidP="00A93E3B">
      <w:r>
        <w:tab/>
        <w:t xml:space="preserve">    composite scores</w:t>
      </w:r>
      <w:r>
        <w:tab/>
      </w:r>
      <w:r>
        <w:tab/>
      </w:r>
      <w:r>
        <w:tab/>
      </w:r>
      <w:r>
        <w:tab/>
      </w:r>
      <w:r>
        <w:tab/>
      </w:r>
      <w:r>
        <w:tab/>
      </w:r>
      <w:r>
        <w:tab/>
        <w:t>composite scores</w:t>
      </w:r>
    </w:p>
    <w:p w14:paraId="3BB57676" w14:textId="77777777" w:rsidR="00A93E3B" w:rsidRDefault="00A93E3B" w:rsidP="00A93E3B"/>
    <w:p w14:paraId="3B8E73D2" w14:textId="77777777" w:rsidR="00A93E3B" w:rsidRDefault="00A93E3B" w:rsidP="00A93E3B">
      <w:pPr>
        <w:pStyle w:val="ListParagraph"/>
        <w:numPr>
          <w:ilvl w:val="1"/>
          <w:numId w:val="22"/>
        </w:numPr>
      </w:pPr>
      <w:r w:rsidRPr="00465622">
        <w:rPr>
          <w:b/>
        </w:rPr>
        <w:t>Grade Distributions in Psyx 499R</w:t>
      </w:r>
      <w:r>
        <w:t xml:space="preserve">. The grade distributions appear to be consistent with the rubric assessments. Table 1 shows that only occasional students earned grades below a “C”, the minimum grade for fulfilling the Psychology major requirements. The grade distribution is shown in Table 1 for years 2009 to Fall 2012. Approximately 8% of students dropped the course or received a non-passing grade over this time period. To determine whether the individuals who dropped the course eventually re-enrolled and succeeded would require a level of individual tracking for which the department does not have the resources. Figure 5 plots the cumulative grade distribution for the time period in Table 1. </w:t>
      </w:r>
    </w:p>
    <w:p w14:paraId="62FE08CB" w14:textId="77777777" w:rsidR="00A93E3B" w:rsidRDefault="00A93E3B" w:rsidP="00A93E3B"/>
    <w:p w14:paraId="46A434DA" w14:textId="77777777" w:rsidR="00A93E3B" w:rsidRDefault="008E37F0" w:rsidP="00A93E3B">
      <w:r>
        <w:br w:type="page"/>
      </w:r>
      <w:r w:rsidR="00A93E3B">
        <w:t xml:space="preserve">Table 1. Percentage of grades in each category in each semester in Psyx 499R Senior Thesis </w:t>
      </w:r>
    </w:p>
    <w:p w14:paraId="248C789F" w14:textId="77777777" w:rsidR="00A93E3B" w:rsidRDefault="00A93E3B" w:rsidP="00A93E3B"/>
    <w:tbl>
      <w:tblPr>
        <w:tblW w:w="9100" w:type="dxa"/>
        <w:tblInd w:w="92" w:type="dxa"/>
        <w:tblLook w:val="0000" w:firstRow="0" w:lastRow="0" w:firstColumn="0" w:lastColumn="0" w:noHBand="0" w:noVBand="0"/>
      </w:tblPr>
      <w:tblGrid>
        <w:gridCol w:w="1300"/>
        <w:gridCol w:w="1300"/>
        <w:gridCol w:w="1300"/>
        <w:gridCol w:w="1300"/>
        <w:gridCol w:w="1300"/>
        <w:gridCol w:w="1300"/>
        <w:gridCol w:w="1300"/>
      </w:tblGrid>
      <w:tr w:rsidR="00A93E3B" w:rsidRPr="00961648" w14:paraId="4CE0713C" w14:textId="77777777">
        <w:trPr>
          <w:trHeight w:val="280"/>
        </w:trPr>
        <w:tc>
          <w:tcPr>
            <w:tcW w:w="1300" w:type="dxa"/>
            <w:tcBorders>
              <w:top w:val="nil"/>
              <w:left w:val="nil"/>
              <w:bottom w:val="nil"/>
              <w:right w:val="nil"/>
            </w:tcBorders>
            <w:shd w:val="clear" w:color="auto" w:fill="auto"/>
            <w:noWrap/>
            <w:vAlign w:val="bottom"/>
          </w:tcPr>
          <w:p w14:paraId="3BFC350B" w14:textId="77777777" w:rsidR="00A93E3B" w:rsidRPr="00961648" w:rsidRDefault="00A93E3B" w:rsidP="00F32A52">
            <w:pPr>
              <w:rPr>
                <w:rFonts w:ascii="Calibri" w:eastAsiaTheme="minorHAnsi" w:hAnsi="Calibri" w:cstheme="minorBidi"/>
                <w:b/>
                <w:bCs/>
                <w:color w:val="000000"/>
                <w:sz w:val="22"/>
                <w:szCs w:val="22"/>
              </w:rPr>
            </w:pPr>
            <w:r>
              <w:rPr>
                <w:rFonts w:ascii="Calibri" w:eastAsiaTheme="minorHAnsi" w:hAnsi="Calibri" w:cstheme="minorBidi"/>
                <w:b/>
                <w:bCs/>
                <w:color w:val="000000"/>
                <w:sz w:val="22"/>
                <w:szCs w:val="22"/>
              </w:rPr>
              <w:t>S</w:t>
            </w:r>
            <w:r w:rsidRPr="00961648">
              <w:rPr>
                <w:rFonts w:ascii="Calibri" w:eastAsiaTheme="minorHAnsi" w:hAnsi="Calibri" w:cstheme="minorBidi"/>
                <w:b/>
                <w:bCs/>
                <w:color w:val="000000"/>
                <w:sz w:val="22"/>
                <w:szCs w:val="22"/>
              </w:rPr>
              <w:t>emester</w:t>
            </w:r>
          </w:p>
        </w:tc>
        <w:tc>
          <w:tcPr>
            <w:tcW w:w="1300" w:type="dxa"/>
            <w:tcBorders>
              <w:top w:val="nil"/>
              <w:left w:val="nil"/>
              <w:bottom w:val="nil"/>
              <w:right w:val="nil"/>
            </w:tcBorders>
            <w:shd w:val="clear" w:color="auto" w:fill="auto"/>
            <w:noWrap/>
            <w:vAlign w:val="bottom"/>
          </w:tcPr>
          <w:p w14:paraId="558BB332" w14:textId="77777777" w:rsidR="00A93E3B" w:rsidRPr="00961648" w:rsidRDefault="00A93E3B" w:rsidP="00F32A52">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A</w:t>
            </w:r>
          </w:p>
        </w:tc>
        <w:tc>
          <w:tcPr>
            <w:tcW w:w="1300" w:type="dxa"/>
            <w:tcBorders>
              <w:top w:val="nil"/>
              <w:left w:val="nil"/>
              <w:bottom w:val="nil"/>
              <w:right w:val="nil"/>
            </w:tcBorders>
            <w:shd w:val="clear" w:color="auto" w:fill="auto"/>
            <w:noWrap/>
            <w:vAlign w:val="bottom"/>
          </w:tcPr>
          <w:p w14:paraId="6B667AF3" w14:textId="77777777" w:rsidR="00A93E3B" w:rsidRPr="00961648" w:rsidRDefault="00A93E3B" w:rsidP="00F32A52">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B</w:t>
            </w:r>
          </w:p>
        </w:tc>
        <w:tc>
          <w:tcPr>
            <w:tcW w:w="1300" w:type="dxa"/>
            <w:tcBorders>
              <w:top w:val="nil"/>
              <w:left w:val="nil"/>
              <w:bottom w:val="nil"/>
              <w:right w:val="nil"/>
            </w:tcBorders>
            <w:shd w:val="clear" w:color="auto" w:fill="auto"/>
            <w:noWrap/>
            <w:vAlign w:val="bottom"/>
          </w:tcPr>
          <w:p w14:paraId="5587AACC" w14:textId="77777777" w:rsidR="00A93E3B" w:rsidRPr="00961648" w:rsidRDefault="00A93E3B" w:rsidP="00F32A52">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C</w:t>
            </w:r>
          </w:p>
        </w:tc>
        <w:tc>
          <w:tcPr>
            <w:tcW w:w="1300" w:type="dxa"/>
            <w:tcBorders>
              <w:top w:val="nil"/>
              <w:left w:val="nil"/>
              <w:bottom w:val="nil"/>
              <w:right w:val="nil"/>
            </w:tcBorders>
            <w:shd w:val="clear" w:color="auto" w:fill="auto"/>
            <w:noWrap/>
            <w:vAlign w:val="bottom"/>
          </w:tcPr>
          <w:p w14:paraId="50B02AF3" w14:textId="77777777" w:rsidR="00A93E3B" w:rsidRPr="00961648" w:rsidRDefault="00A93E3B" w:rsidP="00F32A52">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D</w:t>
            </w:r>
          </w:p>
        </w:tc>
        <w:tc>
          <w:tcPr>
            <w:tcW w:w="1300" w:type="dxa"/>
            <w:tcBorders>
              <w:top w:val="nil"/>
              <w:left w:val="nil"/>
              <w:bottom w:val="nil"/>
              <w:right w:val="nil"/>
            </w:tcBorders>
            <w:shd w:val="clear" w:color="auto" w:fill="auto"/>
            <w:noWrap/>
            <w:vAlign w:val="bottom"/>
          </w:tcPr>
          <w:p w14:paraId="116C9A20" w14:textId="77777777" w:rsidR="00A93E3B" w:rsidRPr="00961648" w:rsidRDefault="00A93E3B" w:rsidP="00F32A52">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F</w:t>
            </w:r>
          </w:p>
        </w:tc>
        <w:tc>
          <w:tcPr>
            <w:tcW w:w="1300" w:type="dxa"/>
            <w:tcBorders>
              <w:top w:val="nil"/>
              <w:left w:val="nil"/>
              <w:bottom w:val="nil"/>
              <w:right w:val="nil"/>
            </w:tcBorders>
            <w:shd w:val="clear" w:color="auto" w:fill="auto"/>
            <w:noWrap/>
            <w:vAlign w:val="bottom"/>
          </w:tcPr>
          <w:p w14:paraId="0E617C0B" w14:textId="77777777" w:rsidR="00A93E3B" w:rsidRPr="00961648" w:rsidRDefault="00A93E3B" w:rsidP="00F32A52">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W</w:t>
            </w:r>
          </w:p>
        </w:tc>
      </w:tr>
      <w:tr w:rsidR="00A93E3B" w:rsidRPr="00961648" w14:paraId="7D8D47DD" w14:textId="77777777">
        <w:trPr>
          <w:trHeight w:val="280"/>
        </w:trPr>
        <w:tc>
          <w:tcPr>
            <w:tcW w:w="1300" w:type="dxa"/>
            <w:tcBorders>
              <w:top w:val="nil"/>
              <w:left w:val="nil"/>
              <w:bottom w:val="nil"/>
              <w:right w:val="nil"/>
            </w:tcBorders>
            <w:shd w:val="clear" w:color="auto" w:fill="auto"/>
            <w:noWrap/>
            <w:vAlign w:val="bottom"/>
          </w:tcPr>
          <w:p w14:paraId="5964F053" w14:textId="77777777" w:rsidR="00A93E3B" w:rsidRPr="00961648" w:rsidRDefault="00A93E3B" w:rsidP="00F32A52">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F 09</w:t>
            </w:r>
          </w:p>
        </w:tc>
        <w:tc>
          <w:tcPr>
            <w:tcW w:w="1300" w:type="dxa"/>
            <w:tcBorders>
              <w:top w:val="nil"/>
              <w:left w:val="nil"/>
              <w:bottom w:val="nil"/>
              <w:right w:val="nil"/>
            </w:tcBorders>
            <w:shd w:val="clear" w:color="auto" w:fill="auto"/>
            <w:noWrap/>
            <w:vAlign w:val="bottom"/>
          </w:tcPr>
          <w:p w14:paraId="10647EB7"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75.00</w:t>
            </w:r>
          </w:p>
        </w:tc>
        <w:tc>
          <w:tcPr>
            <w:tcW w:w="1300" w:type="dxa"/>
            <w:tcBorders>
              <w:top w:val="nil"/>
              <w:left w:val="nil"/>
              <w:bottom w:val="nil"/>
              <w:right w:val="nil"/>
            </w:tcBorders>
            <w:shd w:val="clear" w:color="auto" w:fill="auto"/>
            <w:noWrap/>
            <w:vAlign w:val="bottom"/>
          </w:tcPr>
          <w:p w14:paraId="7A5DEECB"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18.75</w:t>
            </w:r>
          </w:p>
        </w:tc>
        <w:tc>
          <w:tcPr>
            <w:tcW w:w="1300" w:type="dxa"/>
            <w:tcBorders>
              <w:top w:val="nil"/>
              <w:left w:val="nil"/>
              <w:bottom w:val="nil"/>
              <w:right w:val="nil"/>
            </w:tcBorders>
            <w:shd w:val="clear" w:color="auto" w:fill="auto"/>
            <w:noWrap/>
            <w:vAlign w:val="bottom"/>
          </w:tcPr>
          <w:p w14:paraId="009EEA6B"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6B93CA55"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1FC61951"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0DC5EFCD"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6.25</w:t>
            </w:r>
          </w:p>
        </w:tc>
      </w:tr>
      <w:tr w:rsidR="00A93E3B" w:rsidRPr="00961648" w14:paraId="320D054A" w14:textId="77777777">
        <w:trPr>
          <w:trHeight w:val="280"/>
        </w:trPr>
        <w:tc>
          <w:tcPr>
            <w:tcW w:w="1300" w:type="dxa"/>
            <w:tcBorders>
              <w:top w:val="nil"/>
              <w:left w:val="nil"/>
              <w:bottom w:val="nil"/>
              <w:right w:val="nil"/>
            </w:tcBorders>
            <w:shd w:val="clear" w:color="auto" w:fill="auto"/>
            <w:noWrap/>
            <w:vAlign w:val="bottom"/>
          </w:tcPr>
          <w:p w14:paraId="300AD290" w14:textId="77777777" w:rsidR="00A93E3B" w:rsidRPr="00961648" w:rsidRDefault="00A93E3B" w:rsidP="00F32A52">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Sp 10</w:t>
            </w:r>
          </w:p>
        </w:tc>
        <w:tc>
          <w:tcPr>
            <w:tcW w:w="1300" w:type="dxa"/>
            <w:tcBorders>
              <w:top w:val="nil"/>
              <w:left w:val="nil"/>
              <w:bottom w:val="nil"/>
              <w:right w:val="nil"/>
            </w:tcBorders>
            <w:shd w:val="clear" w:color="auto" w:fill="auto"/>
            <w:noWrap/>
            <w:vAlign w:val="bottom"/>
          </w:tcPr>
          <w:p w14:paraId="2A3C99BB"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66.67</w:t>
            </w:r>
          </w:p>
        </w:tc>
        <w:tc>
          <w:tcPr>
            <w:tcW w:w="1300" w:type="dxa"/>
            <w:tcBorders>
              <w:top w:val="nil"/>
              <w:left w:val="nil"/>
              <w:bottom w:val="nil"/>
              <w:right w:val="nil"/>
            </w:tcBorders>
            <w:shd w:val="clear" w:color="auto" w:fill="auto"/>
            <w:noWrap/>
            <w:vAlign w:val="bottom"/>
          </w:tcPr>
          <w:p w14:paraId="71E27658"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23.33</w:t>
            </w:r>
          </w:p>
        </w:tc>
        <w:tc>
          <w:tcPr>
            <w:tcW w:w="1300" w:type="dxa"/>
            <w:tcBorders>
              <w:top w:val="nil"/>
              <w:left w:val="nil"/>
              <w:bottom w:val="nil"/>
              <w:right w:val="nil"/>
            </w:tcBorders>
            <w:shd w:val="clear" w:color="auto" w:fill="auto"/>
            <w:noWrap/>
            <w:vAlign w:val="bottom"/>
          </w:tcPr>
          <w:p w14:paraId="17E2FEE3"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7A591A1C"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474BA799"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3C696323"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10.00</w:t>
            </w:r>
          </w:p>
        </w:tc>
      </w:tr>
      <w:tr w:rsidR="00A93E3B" w:rsidRPr="00961648" w14:paraId="7E08626C" w14:textId="77777777">
        <w:trPr>
          <w:trHeight w:val="280"/>
        </w:trPr>
        <w:tc>
          <w:tcPr>
            <w:tcW w:w="1300" w:type="dxa"/>
            <w:tcBorders>
              <w:top w:val="nil"/>
              <w:left w:val="nil"/>
              <w:bottom w:val="nil"/>
              <w:right w:val="nil"/>
            </w:tcBorders>
            <w:shd w:val="clear" w:color="auto" w:fill="auto"/>
            <w:noWrap/>
            <w:vAlign w:val="bottom"/>
          </w:tcPr>
          <w:p w14:paraId="3890BDFA" w14:textId="77777777" w:rsidR="00A93E3B" w:rsidRPr="00961648" w:rsidRDefault="00A93E3B" w:rsidP="00F32A52">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F 10</w:t>
            </w:r>
          </w:p>
        </w:tc>
        <w:tc>
          <w:tcPr>
            <w:tcW w:w="1300" w:type="dxa"/>
            <w:tcBorders>
              <w:top w:val="nil"/>
              <w:left w:val="nil"/>
              <w:bottom w:val="nil"/>
              <w:right w:val="nil"/>
            </w:tcBorders>
            <w:shd w:val="clear" w:color="auto" w:fill="auto"/>
            <w:noWrap/>
            <w:vAlign w:val="bottom"/>
          </w:tcPr>
          <w:p w14:paraId="23D4EE59"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90.91</w:t>
            </w:r>
          </w:p>
        </w:tc>
        <w:tc>
          <w:tcPr>
            <w:tcW w:w="1300" w:type="dxa"/>
            <w:tcBorders>
              <w:top w:val="nil"/>
              <w:left w:val="nil"/>
              <w:bottom w:val="nil"/>
              <w:right w:val="nil"/>
            </w:tcBorders>
            <w:shd w:val="clear" w:color="auto" w:fill="auto"/>
            <w:noWrap/>
            <w:vAlign w:val="bottom"/>
          </w:tcPr>
          <w:p w14:paraId="3AC88D98"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3AECE213"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2CA9D549"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0A6817F5"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566BBB97"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9.09</w:t>
            </w:r>
          </w:p>
        </w:tc>
      </w:tr>
      <w:tr w:rsidR="00A93E3B" w:rsidRPr="00961648" w14:paraId="57471B22" w14:textId="77777777">
        <w:trPr>
          <w:trHeight w:val="280"/>
        </w:trPr>
        <w:tc>
          <w:tcPr>
            <w:tcW w:w="1300" w:type="dxa"/>
            <w:tcBorders>
              <w:top w:val="nil"/>
              <w:left w:val="nil"/>
              <w:bottom w:val="nil"/>
              <w:right w:val="nil"/>
            </w:tcBorders>
            <w:shd w:val="clear" w:color="auto" w:fill="auto"/>
            <w:noWrap/>
            <w:vAlign w:val="bottom"/>
          </w:tcPr>
          <w:p w14:paraId="22B4CFE2" w14:textId="77777777" w:rsidR="00A93E3B" w:rsidRPr="00961648" w:rsidRDefault="00A93E3B" w:rsidP="00F32A52">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Sp 11</w:t>
            </w:r>
          </w:p>
        </w:tc>
        <w:tc>
          <w:tcPr>
            <w:tcW w:w="1300" w:type="dxa"/>
            <w:tcBorders>
              <w:top w:val="nil"/>
              <w:left w:val="nil"/>
              <w:bottom w:val="nil"/>
              <w:right w:val="nil"/>
            </w:tcBorders>
            <w:shd w:val="clear" w:color="auto" w:fill="auto"/>
            <w:noWrap/>
            <w:vAlign w:val="bottom"/>
          </w:tcPr>
          <w:p w14:paraId="0D97D451"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67.50</w:t>
            </w:r>
          </w:p>
        </w:tc>
        <w:tc>
          <w:tcPr>
            <w:tcW w:w="1300" w:type="dxa"/>
            <w:tcBorders>
              <w:top w:val="nil"/>
              <w:left w:val="nil"/>
              <w:bottom w:val="nil"/>
              <w:right w:val="nil"/>
            </w:tcBorders>
            <w:shd w:val="clear" w:color="auto" w:fill="auto"/>
            <w:noWrap/>
            <w:vAlign w:val="bottom"/>
          </w:tcPr>
          <w:p w14:paraId="14B8D848"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20.00</w:t>
            </w:r>
          </w:p>
        </w:tc>
        <w:tc>
          <w:tcPr>
            <w:tcW w:w="1300" w:type="dxa"/>
            <w:tcBorders>
              <w:top w:val="nil"/>
              <w:left w:val="nil"/>
              <w:bottom w:val="nil"/>
              <w:right w:val="nil"/>
            </w:tcBorders>
            <w:shd w:val="clear" w:color="auto" w:fill="auto"/>
            <w:noWrap/>
            <w:vAlign w:val="bottom"/>
          </w:tcPr>
          <w:p w14:paraId="124E061F"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2.50</w:t>
            </w:r>
          </w:p>
        </w:tc>
        <w:tc>
          <w:tcPr>
            <w:tcW w:w="1300" w:type="dxa"/>
            <w:tcBorders>
              <w:top w:val="nil"/>
              <w:left w:val="nil"/>
              <w:bottom w:val="nil"/>
              <w:right w:val="nil"/>
            </w:tcBorders>
            <w:shd w:val="clear" w:color="auto" w:fill="auto"/>
            <w:noWrap/>
            <w:vAlign w:val="bottom"/>
          </w:tcPr>
          <w:p w14:paraId="564D7D12"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75C40303"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2.50</w:t>
            </w:r>
          </w:p>
        </w:tc>
        <w:tc>
          <w:tcPr>
            <w:tcW w:w="1300" w:type="dxa"/>
            <w:tcBorders>
              <w:top w:val="nil"/>
              <w:left w:val="nil"/>
              <w:bottom w:val="nil"/>
              <w:right w:val="nil"/>
            </w:tcBorders>
            <w:shd w:val="clear" w:color="auto" w:fill="auto"/>
            <w:noWrap/>
            <w:vAlign w:val="bottom"/>
          </w:tcPr>
          <w:p w14:paraId="7BB4845F"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7.50</w:t>
            </w:r>
          </w:p>
        </w:tc>
      </w:tr>
      <w:tr w:rsidR="00A93E3B" w:rsidRPr="00961648" w14:paraId="5E16F6BC" w14:textId="77777777">
        <w:trPr>
          <w:trHeight w:val="280"/>
        </w:trPr>
        <w:tc>
          <w:tcPr>
            <w:tcW w:w="1300" w:type="dxa"/>
            <w:tcBorders>
              <w:top w:val="nil"/>
              <w:left w:val="nil"/>
              <w:bottom w:val="nil"/>
              <w:right w:val="nil"/>
            </w:tcBorders>
            <w:shd w:val="clear" w:color="auto" w:fill="auto"/>
            <w:noWrap/>
            <w:vAlign w:val="bottom"/>
          </w:tcPr>
          <w:p w14:paraId="5DE8D379" w14:textId="77777777" w:rsidR="00A93E3B" w:rsidRPr="00961648" w:rsidRDefault="00A93E3B" w:rsidP="00F32A52">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F 11</w:t>
            </w:r>
          </w:p>
        </w:tc>
        <w:tc>
          <w:tcPr>
            <w:tcW w:w="1300" w:type="dxa"/>
            <w:tcBorders>
              <w:top w:val="nil"/>
              <w:left w:val="nil"/>
              <w:bottom w:val="nil"/>
              <w:right w:val="nil"/>
            </w:tcBorders>
            <w:shd w:val="clear" w:color="auto" w:fill="auto"/>
            <w:noWrap/>
            <w:vAlign w:val="bottom"/>
          </w:tcPr>
          <w:p w14:paraId="4805A6EB"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62.50</w:t>
            </w:r>
          </w:p>
        </w:tc>
        <w:tc>
          <w:tcPr>
            <w:tcW w:w="1300" w:type="dxa"/>
            <w:tcBorders>
              <w:top w:val="nil"/>
              <w:left w:val="nil"/>
              <w:bottom w:val="nil"/>
              <w:right w:val="nil"/>
            </w:tcBorders>
            <w:shd w:val="clear" w:color="auto" w:fill="auto"/>
            <w:noWrap/>
            <w:vAlign w:val="bottom"/>
          </w:tcPr>
          <w:p w14:paraId="1BE156AC"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16.67</w:t>
            </w:r>
          </w:p>
        </w:tc>
        <w:tc>
          <w:tcPr>
            <w:tcW w:w="1300" w:type="dxa"/>
            <w:tcBorders>
              <w:top w:val="nil"/>
              <w:left w:val="nil"/>
              <w:bottom w:val="nil"/>
              <w:right w:val="nil"/>
            </w:tcBorders>
            <w:shd w:val="clear" w:color="auto" w:fill="auto"/>
            <w:noWrap/>
            <w:vAlign w:val="bottom"/>
          </w:tcPr>
          <w:p w14:paraId="2EC6BB09"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8.33</w:t>
            </w:r>
          </w:p>
        </w:tc>
        <w:tc>
          <w:tcPr>
            <w:tcW w:w="1300" w:type="dxa"/>
            <w:tcBorders>
              <w:top w:val="nil"/>
              <w:left w:val="nil"/>
              <w:bottom w:val="nil"/>
              <w:right w:val="nil"/>
            </w:tcBorders>
            <w:shd w:val="clear" w:color="auto" w:fill="auto"/>
            <w:noWrap/>
            <w:vAlign w:val="bottom"/>
          </w:tcPr>
          <w:p w14:paraId="190204BD"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7D7C9089"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2EC1DBB8"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12.50</w:t>
            </w:r>
          </w:p>
        </w:tc>
      </w:tr>
      <w:tr w:rsidR="00A93E3B" w:rsidRPr="00961648" w14:paraId="784C75C4" w14:textId="77777777">
        <w:trPr>
          <w:trHeight w:val="280"/>
        </w:trPr>
        <w:tc>
          <w:tcPr>
            <w:tcW w:w="1300" w:type="dxa"/>
            <w:tcBorders>
              <w:top w:val="nil"/>
              <w:left w:val="nil"/>
              <w:bottom w:val="nil"/>
              <w:right w:val="nil"/>
            </w:tcBorders>
            <w:shd w:val="clear" w:color="auto" w:fill="auto"/>
            <w:noWrap/>
            <w:vAlign w:val="bottom"/>
          </w:tcPr>
          <w:p w14:paraId="320482C8" w14:textId="77777777" w:rsidR="00A93E3B" w:rsidRPr="00961648" w:rsidRDefault="00A93E3B" w:rsidP="00F32A52">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Sp 12</w:t>
            </w:r>
          </w:p>
        </w:tc>
        <w:tc>
          <w:tcPr>
            <w:tcW w:w="1300" w:type="dxa"/>
            <w:tcBorders>
              <w:top w:val="nil"/>
              <w:left w:val="nil"/>
              <w:bottom w:val="nil"/>
              <w:right w:val="nil"/>
            </w:tcBorders>
            <w:shd w:val="clear" w:color="auto" w:fill="auto"/>
            <w:noWrap/>
            <w:vAlign w:val="bottom"/>
          </w:tcPr>
          <w:p w14:paraId="721A0F7D"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73.08</w:t>
            </w:r>
          </w:p>
        </w:tc>
        <w:tc>
          <w:tcPr>
            <w:tcW w:w="1300" w:type="dxa"/>
            <w:tcBorders>
              <w:top w:val="nil"/>
              <w:left w:val="nil"/>
              <w:bottom w:val="nil"/>
              <w:right w:val="nil"/>
            </w:tcBorders>
            <w:shd w:val="clear" w:color="auto" w:fill="auto"/>
            <w:noWrap/>
            <w:vAlign w:val="bottom"/>
          </w:tcPr>
          <w:p w14:paraId="6CD130A2"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23.08</w:t>
            </w:r>
          </w:p>
        </w:tc>
        <w:tc>
          <w:tcPr>
            <w:tcW w:w="1300" w:type="dxa"/>
            <w:tcBorders>
              <w:top w:val="nil"/>
              <w:left w:val="nil"/>
              <w:bottom w:val="nil"/>
              <w:right w:val="nil"/>
            </w:tcBorders>
            <w:shd w:val="clear" w:color="auto" w:fill="auto"/>
            <w:noWrap/>
            <w:vAlign w:val="bottom"/>
          </w:tcPr>
          <w:p w14:paraId="3043AB5E"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2F11FA02"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5FB0F5CB"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22D24923"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3.85</w:t>
            </w:r>
          </w:p>
        </w:tc>
      </w:tr>
      <w:tr w:rsidR="00A93E3B" w:rsidRPr="00961648" w14:paraId="333052D9" w14:textId="77777777">
        <w:trPr>
          <w:trHeight w:val="280"/>
        </w:trPr>
        <w:tc>
          <w:tcPr>
            <w:tcW w:w="1300" w:type="dxa"/>
            <w:tcBorders>
              <w:top w:val="nil"/>
              <w:left w:val="nil"/>
              <w:bottom w:val="nil"/>
              <w:right w:val="nil"/>
            </w:tcBorders>
            <w:shd w:val="clear" w:color="auto" w:fill="auto"/>
            <w:noWrap/>
            <w:vAlign w:val="bottom"/>
          </w:tcPr>
          <w:p w14:paraId="284EC6EE" w14:textId="77777777" w:rsidR="00A93E3B" w:rsidRPr="00961648" w:rsidRDefault="00A93E3B" w:rsidP="00F32A52">
            <w:pPr>
              <w:rPr>
                <w:rFonts w:ascii="Calibri" w:eastAsiaTheme="minorHAnsi" w:hAnsi="Calibri" w:cstheme="minorBidi"/>
                <w:color w:val="000000"/>
                <w:sz w:val="22"/>
                <w:szCs w:val="22"/>
              </w:rPr>
            </w:pPr>
          </w:p>
        </w:tc>
        <w:tc>
          <w:tcPr>
            <w:tcW w:w="1300" w:type="dxa"/>
            <w:tcBorders>
              <w:top w:val="nil"/>
              <w:left w:val="nil"/>
              <w:bottom w:val="nil"/>
              <w:right w:val="nil"/>
            </w:tcBorders>
            <w:shd w:val="clear" w:color="auto" w:fill="auto"/>
            <w:noWrap/>
            <w:vAlign w:val="bottom"/>
          </w:tcPr>
          <w:p w14:paraId="7132737F" w14:textId="77777777" w:rsidR="00A93E3B" w:rsidRPr="00961648" w:rsidRDefault="00A93E3B" w:rsidP="00F32A52">
            <w:pPr>
              <w:rPr>
                <w:rFonts w:ascii="Calibri" w:eastAsiaTheme="minorHAnsi" w:hAnsi="Calibri" w:cstheme="minorBidi"/>
                <w:color w:val="000000"/>
                <w:sz w:val="22"/>
                <w:szCs w:val="22"/>
              </w:rPr>
            </w:pPr>
          </w:p>
        </w:tc>
        <w:tc>
          <w:tcPr>
            <w:tcW w:w="1300" w:type="dxa"/>
            <w:tcBorders>
              <w:top w:val="nil"/>
              <w:left w:val="nil"/>
              <w:bottom w:val="nil"/>
              <w:right w:val="nil"/>
            </w:tcBorders>
            <w:shd w:val="clear" w:color="auto" w:fill="auto"/>
            <w:noWrap/>
            <w:vAlign w:val="bottom"/>
          </w:tcPr>
          <w:p w14:paraId="3785C393" w14:textId="77777777" w:rsidR="00A93E3B" w:rsidRPr="00961648" w:rsidRDefault="00A93E3B" w:rsidP="00F32A52">
            <w:pPr>
              <w:rPr>
                <w:rFonts w:ascii="Calibri" w:eastAsiaTheme="minorHAnsi" w:hAnsi="Calibri" w:cstheme="minorBidi"/>
                <w:color w:val="000000"/>
                <w:sz w:val="22"/>
                <w:szCs w:val="22"/>
              </w:rPr>
            </w:pPr>
          </w:p>
        </w:tc>
        <w:tc>
          <w:tcPr>
            <w:tcW w:w="1300" w:type="dxa"/>
            <w:tcBorders>
              <w:top w:val="nil"/>
              <w:left w:val="nil"/>
              <w:bottom w:val="nil"/>
              <w:right w:val="nil"/>
            </w:tcBorders>
            <w:shd w:val="clear" w:color="auto" w:fill="auto"/>
            <w:noWrap/>
            <w:vAlign w:val="bottom"/>
          </w:tcPr>
          <w:p w14:paraId="21ACC2BC" w14:textId="77777777" w:rsidR="00A93E3B" w:rsidRPr="00961648" w:rsidRDefault="00A93E3B" w:rsidP="00F32A52">
            <w:pPr>
              <w:rPr>
                <w:rFonts w:ascii="Calibri" w:eastAsiaTheme="minorHAnsi" w:hAnsi="Calibri" w:cstheme="minorBidi"/>
                <w:color w:val="000000"/>
                <w:sz w:val="22"/>
                <w:szCs w:val="22"/>
              </w:rPr>
            </w:pPr>
          </w:p>
        </w:tc>
        <w:tc>
          <w:tcPr>
            <w:tcW w:w="1300" w:type="dxa"/>
            <w:tcBorders>
              <w:top w:val="nil"/>
              <w:left w:val="nil"/>
              <w:bottom w:val="nil"/>
              <w:right w:val="nil"/>
            </w:tcBorders>
            <w:shd w:val="clear" w:color="auto" w:fill="auto"/>
            <w:noWrap/>
            <w:vAlign w:val="bottom"/>
          </w:tcPr>
          <w:p w14:paraId="7BB76216" w14:textId="77777777" w:rsidR="00A93E3B" w:rsidRPr="00961648" w:rsidRDefault="00A93E3B" w:rsidP="00F32A52">
            <w:pPr>
              <w:rPr>
                <w:rFonts w:ascii="Calibri" w:eastAsiaTheme="minorHAnsi" w:hAnsi="Calibri" w:cstheme="minorBidi"/>
                <w:color w:val="000000"/>
                <w:sz w:val="22"/>
                <w:szCs w:val="22"/>
              </w:rPr>
            </w:pPr>
          </w:p>
        </w:tc>
        <w:tc>
          <w:tcPr>
            <w:tcW w:w="1300" w:type="dxa"/>
            <w:tcBorders>
              <w:top w:val="nil"/>
              <w:left w:val="nil"/>
              <w:bottom w:val="nil"/>
              <w:right w:val="nil"/>
            </w:tcBorders>
            <w:shd w:val="clear" w:color="auto" w:fill="auto"/>
            <w:noWrap/>
            <w:vAlign w:val="bottom"/>
          </w:tcPr>
          <w:p w14:paraId="453AE43F" w14:textId="77777777" w:rsidR="00A93E3B" w:rsidRPr="00961648" w:rsidRDefault="00A93E3B" w:rsidP="00F32A52">
            <w:pPr>
              <w:rPr>
                <w:rFonts w:ascii="Calibri" w:eastAsiaTheme="minorHAnsi" w:hAnsi="Calibri" w:cstheme="minorBidi"/>
                <w:color w:val="000000"/>
                <w:sz w:val="22"/>
                <w:szCs w:val="22"/>
              </w:rPr>
            </w:pPr>
          </w:p>
        </w:tc>
        <w:tc>
          <w:tcPr>
            <w:tcW w:w="1300" w:type="dxa"/>
            <w:tcBorders>
              <w:top w:val="nil"/>
              <w:left w:val="nil"/>
              <w:bottom w:val="nil"/>
              <w:right w:val="nil"/>
            </w:tcBorders>
            <w:shd w:val="clear" w:color="auto" w:fill="auto"/>
            <w:noWrap/>
            <w:vAlign w:val="bottom"/>
          </w:tcPr>
          <w:p w14:paraId="7F532145" w14:textId="77777777" w:rsidR="00A93E3B" w:rsidRPr="00961648" w:rsidRDefault="00A93E3B" w:rsidP="00F32A52">
            <w:pPr>
              <w:rPr>
                <w:rFonts w:ascii="Calibri" w:eastAsiaTheme="minorHAnsi" w:hAnsi="Calibri" w:cstheme="minorBidi"/>
                <w:color w:val="000000"/>
                <w:sz w:val="22"/>
                <w:szCs w:val="22"/>
              </w:rPr>
            </w:pPr>
          </w:p>
        </w:tc>
      </w:tr>
      <w:tr w:rsidR="00A93E3B" w:rsidRPr="00961648" w14:paraId="421465F5" w14:textId="77777777">
        <w:trPr>
          <w:trHeight w:val="280"/>
        </w:trPr>
        <w:tc>
          <w:tcPr>
            <w:tcW w:w="1300" w:type="dxa"/>
            <w:tcBorders>
              <w:top w:val="nil"/>
              <w:left w:val="nil"/>
              <w:bottom w:val="nil"/>
              <w:right w:val="nil"/>
            </w:tcBorders>
            <w:shd w:val="clear" w:color="auto" w:fill="auto"/>
            <w:noWrap/>
            <w:vAlign w:val="bottom"/>
          </w:tcPr>
          <w:p w14:paraId="5FE70F32" w14:textId="77777777" w:rsidR="00A93E3B" w:rsidRPr="00961648" w:rsidRDefault="00A93E3B" w:rsidP="00F32A52">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Total %</w:t>
            </w:r>
          </w:p>
        </w:tc>
        <w:tc>
          <w:tcPr>
            <w:tcW w:w="1300" w:type="dxa"/>
            <w:tcBorders>
              <w:top w:val="nil"/>
              <w:left w:val="nil"/>
              <w:bottom w:val="nil"/>
              <w:right w:val="nil"/>
            </w:tcBorders>
            <w:shd w:val="clear" w:color="auto" w:fill="auto"/>
            <w:noWrap/>
            <w:vAlign w:val="bottom"/>
          </w:tcPr>
          <w:p w14:paraId="3E3ECC21"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71.52</w:t>
            </w:r>
          </w:p>
        </w:tc>
        <w:tc>
          <w:tcPr>
            <w:tcW w:w="1300" w:type="dxa"/>
            <w:tcBorders>
              <w:top w:val="nil"/>
              <w:left w:val="nil"/>
              <w:bottom w:val="nil"/>
              <w:right w:val="nil"/>
            </w:tcBorders>
            <w:shd w:val="clear" w:color="auto" w:fill="auto"/>
            <w:noWrap/>
            <w:vAlign w:val="bottom"/>
          </w:tcPr>
          <w:p w14:paraId="0A29D519"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17.72</w:t>
            </w:r>
          </w:p>
        </w:tc>
        <w:tc>
          <w:tcPr>
            <w:tcW w:w="1300" w:type="dxa"/>
            <w:tcBorders>
              <w:top w:val="nil"/>
              <w:left w:val="nil"/>
              <w:bottom w:val="nil"/>
              <w:right w:val="nil"/>
            </w:tcBorders>
            <w:shd w:val="clear" w:color="auto" w:fill="auto"/>
            <w:noWrap/>
            <w:vAlign w:val="bottom"/>
          </w:tcPr>
          <w:p w14:paraId="01E0E206"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1.90</w:t>
            </w:r>
          </w:p>
        </w:tc>
        <w:tc>
          <w:tcPr>
            <w:tcW w:w="1300" w:type="dxa"/>
            <w:tcBorders>
              <w:top w:val="nil"/>
              <w:left w:val="nil"/>
              <w:bottom w:val="nil"/>
              <w:right w:val="nil"/>
            </w:tcBorders>
            <w:shd w:val="clear" w:color="auto" w:fill="auto"/>
            <w:noWrap/>
            <w:vAlign w:val="bottom"/>
          </w:tcPr>
          <w:p w14:paraId="2B4BADAA"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14:paraId="1152100E"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0.63</w:t>
            </w:r>
          </w:p>
        </w:tc>
        <w:tc>
          <w:tcPr>
            <w:tcW w:w="1300" w:type="dxa"/>
            <w:tcBorders>
              <w:top w:val="nil"/>
              <w:left w:val="nil"/>
              <w:bottom w:val="nil"/>
              <w:right w:val="nil"/>
            </w:tcBorders>
            <w:shd w:val="clear" w:color="auto" w:fill="auto"/>
            <w:noWrap/>
            <w:vAlign w:val="bottom"/>
          </w:tcPr>
          <w:p w14:paraId="143EA388" w14:textId="77777777" w:rsidR="00A93E3B" w:rsidRPr="00961648" w:rsidRDefault="00A93E3B" w:rsidP="00F32A52">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8.23</w:t>
            </w:r>
          </w:p>
        </w:tc>
      </w:tr>
    </w:tbl>
    <w:p w14:paraId="239841C5" w14:textId="77777777" w:rsidR="00A93E3B" w:rsidRDefault="00A93E3B" w:rsidP="00A93E3B"/>
    <w:p w14:paraId="231FED46" w14:textId="77777777" w:rsidR="00A93E3B" w:rsidRDefault="00A93E3B" w:rsidP="00A93E3B"/>
    <w:p w14:paraId="1ADE4D94" w14:textId="77777777" w:rsidR="00A93E3B" w:rsidRDefault="00A93E3B" w:rsidP="00A93E3B"/>
    <w:p w14:paraId="5D52F49D" w14:textId="77777777" w:rsidR="00A93E3B" w:rsidRDefault="00A93E3B" w:rsidP="00A93E3B">
      <w:r>
        <w:rPr>
          <w:noProof/>
        </w:rPr>
        <w:drawing>
          <wp:inline distT="0" distB="0" distL="0" distR="0" wp14:anchorId="3C2EF3C8" wp14:editId="704B2422">
            <wp:extent cx="3657600" cy="3657600"/>
            <wp:effectExtent l="25400" t="0" r="0" b="0"/>
            <wp:docPr id="5" name="Picture 13" descr="RplotSrThesisGradeDistnF09Spr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ThesisGradeDistnF09Spr12.pdf"/>
                    <pic:cNvPicPr/>
                  </pic:nvPicPr>
                  <pic:blipFill>
                    <a:blip r:embed="rId17"/>
                    <a:stretch>
                      <a:fillRect/>
                    </a:stretch>
                  </pic:blipFill>
                  <pic:spPr>
                    <a:xfrm>
                      <a:off x="0" y="0"/>
                      <a:ext cx="3657600" cy="3657600"/>
                    </a:xfrm>
                    <a:prstGeom prst="rect">
                      <a:avLst/>
                    </a:prstGeom>
                  </pic:spPr>
                </pic:pic>
              </a:graphicData>
            </a:graphic>
          </wp:inline>
        </w:drawing>
      </w:r>
    </w:p>
    <w:p w14:paraId="527F20AC" w14:textId="77777777" w:rsidR="00A93E3B" w:rsidRDefault="00A93E3B" w:rsidP="00A93E3B">
      <w:r>
        <w:tab/>
        <w:t>Figure 5. Senior Thesis Cumulative Grade Distribution</w:t>
      </w:r>
    </w:p>
    <w:p w14:paraId="72154710" w14:textId="77777777" w:rsidR="00A93E3B" w:rsidRDefault="00A93E3B" w:rsidP="00A93E3B"/>
    <w:p w14:paraId="35543630" w14:textId="77777777" w:rsidR="00A93E3B" w:rsidRDefault="00A93E3B" w:rsidP="00A93E3B">
      <w:pPr>
        <w:pStyle w:val="ListParagraph"/>
        <w:numPr>
          <w:ilvl w:val="1"/>
          <w:numId w:val="22"/>
        </w:numPr>
      </w:pPr>
      <w:r w:rsidRPr="007651EE">
        <w:rPr>
          <w:b/>
        </w:rPr>
        <w:t>The Psychology Department ‘Senior Survey’</w:t>
      </w:r>
      <w:r>
        <w:t xml:space="preserve">. This survey assesses important aspects of satisfaction with the major as well as immediate post-graduation job and education intentions (verbatim survey questions are available in the supplementary material). Principal components of survey items 1 to 4 showed that they loaded on a single factor. The smallest loading was .66 for Item #3, satisfaction with Research and Field Practicum opportunities, and the highest loading was .86 for Item #1, overall satisfaction with the major. The single factor accounted for 57% of the variance in the 4 items. We created a composite score, and we also report the responses on the 4 individual items, as well as the item asking about post-graduation plans. The composite scores </w:t>
      </w:r>
    </w:p>
    <w:p w14:paraId="7AAF8F33" w14:textId="77777777" w:rsidR="00A93E3B" w:rsidRDefault="00A93E3B" w:rsidP="00A93E3B">
      <w:pPr>
        <w:pStyle w:val="ListParagraph"/>
        <w:numPr>
          <w:ilvl w:val="2"/>
          <w:numId w:val="22"/>
        </w:numPr>
      </w:pPr>
      <w:r w:rsidRPr="00C82029">
        <w:rPr>
          <w:b/>
        </w:rPr>
        <w:t>Composite scores.</w:t>
      </w:r>
      <w:r>
        <w:t xml:space="preserve"> The most recent mean composite Satisfaction scores are 4.0 and 3.9 on a 5-point scale. This is plotted in Figure 6. </w:t>
      </w:r>
    </w:p>
    <w:p w14:paraId="3C158779" w14:textId="77777777" w:rsidR="00A93E3B" w:rsidRDefault="00A93E3B" w:rsidP="00A93E3B"/>
    <w:p w14:paraId="20FAEED2" w14:textId="77777777" w:rsidR="00A93E3B" w:rsidRDefault="00A93E3B" w:rsidP="00A93E3B"/>
    <w:p w14:paraId="55A8BB2A" w14:textId="77777777" w:rsidR="00A93E3B" w:rsidRDefault="00A93E3B" w:rsidP="00A93E3B"/>
    <w:p w14:paraId="45212209" w14:textId="77777777" w:rsidR="00A93E3B" w:rsidRDefault="00A93E3B" w:rsidP="00A93E3B">
      <w:r>
        <w:rPr>
          <w:noProof/>
        </w:rPr>
        <w:drawing>
          <wp:inline distT="0" distB="0" distL="0" distR="0" wp14:anchorId="0DB61C73" wp14:editId="1E6E1111">
            <wp:extent cx="3657600" cy="3657600"/>
            <wp:effectExtent l="25400" t="0" r="0" b="0"/>
            <wp:docPr id="22" name="Picture 5" descr="RplotSrSurveyComposi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Composite.pdf"/>
                    <pic:cNvPicPr/>
                  </pic:nvPicPr>
                  <pic:blipFill>
                    <a:blip r:embed="rId18"/>
                    <a:stretch>
                      <a:fillRect/>
                    </a:stretch>
                  </pic:blipFill>
                  <pic:spPr>
                    <a:xfrm>
                      <a:off x="0" y="0"/>
                      <a:ext cx="3657600" cy="3657600"/>
                    </a:xfrm>
                    <a:prstGeom prst="rect">
                      <a:avLst/>
                    </a:prstGeom>
                  </pic:spPr>
                </pic:pic>
              </a:graphicData>
            </a:graphic>
          </wp:inline>
        </w:drawing>
      </w:r>
    </w:p>
    <w:p w14:paraId="23237CB4" w14:textId="77777777" w:rsidR="00A93E3B" w:rsidRDefault="00DE3EAC" w:rsidP="00A93E3B">
      <w:r>
        <w:t>Figure 6</w:t>
      </w:r>
      <w:r w:rsidR="00A93E3B">
        <w:t>. Composite score from Psychology Department</w:t>
      </w:r>
    </w:p>
    <w:p w14:paraId="2373B92B" w14:textId="77777777" w:rsidR="00A93E3B" w:rsidRDefault="00A93E3B" w:rsidP="00A93E3B">
      <w:r>
        <w:t xml:space="preserve">    Student Satisfaction Survey. Bars are +/- 1 standard error.</w:t>
      </w:r>
    </w:p>
    <w:p w14:paraId="29936DCE" w14:textId="77777777" w:rsidR="00A93E3B" w:rsidRDefault="00A93E3B" w:rsidP="00A93E3B"/>
    <w:p w14:paraId="17E840BE" w14:textId="77777777" w:rsidR="00A93E3B" w:rsidRDefault="00A93E3B" w:rsidP="00A93E3B"/>
    <w:p w14:paraId="440888BF" w14:textId="77777777" w:rsidR="00A93E3B" w:rsidRDefault="00A93E3B" w:rsidP="00A93E3B">
      <w:pPr>
        <w:pStyle w:val="ListParagraph"/>
        <w:numPr>
          <w:ilvl w:val="2"/>
          <w:numId w:val="22"/>
        </w:numPr>
      </w:pPr>
      <w:r>
        <w:t>The individual questions for Overall satisfaction with the major, Course satisfaction, Research / Field Practicum Satisfaction, and Career / Academic Advising Satis</w:t>
      </w:r>
      <w:r w:rsidR="00DE3EAC">
        <w:t>faction are plotted in Figures 7 to 10</w:t>
      </w:r>
      <w:r>
        <w:t xml:space="preserve">. </w:t>
      </w:r>
    </w:p>
    <w:p w14:paraId="1672EB6B" w14:textId="77777777" w:rsidR="00A93E3B" w:rsidRDefault="00A93E3B" w:rsidP="00A93E3B"/>
    <w:p w14:paraId="51BE2E27" w14:textId="77777777" w:rsidR="00A93E3B" w:rsidRDefault="00A93E3B" w:rsidP="00A93E3B"/>
    <w:p w14:paraId="07FD768C" w14:textId="77777777" w:rsidR="00A93E3B" w:rsidRDefault="00A93E3B" w:rsidP="00A93E3B"/>
    <w:p w14:paraId="21B98D50" w14:textId="77777777" w:rsidR="00A93E3B" w:rsidRDefault="00A93E3B" w:rsidP="00A93E3B">
      <w:r>
        <w:rPr>
          <w:noProof/>
        </w:rPr>
        <w:drawing>
          <wp:inline distT="0" distB="0" distL="0" distR="0" wp14:anchorId="7F916FDF" wp14:editId="097DAEC8">
            <wp:extent cx="3881535" cy="3657600"/>
            <wp:effectExtent l="25400" t="0" r="0" b="0"/>
            <wp:docPr id="23" name="Picture 6" descr="RplotSrSurveyi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i1.pdf"/>
                    <pic:cNvPicPr/>
                  </pic:nvPicPr>
                  <pic:blipFill>
                    <a:blip r:embed="rId19"/>
                    <a:stretch>
                      <a:fillRect/>
                    </a:stretch>
                  </pic:blipFill>
                  <pic:spPr>
                    <a:xfrm>
                      <a:off x="0" y="0"/>
                      <a:ext cx="3881535" cy="3657600"/>
                    </a:xfrm>
                    <a:prstGeom prst="rect">
                      <a:avLst/>
                    </a:prstGeom>
                  </pic:spPr>
                </pic:pic>
              </a:graphicData>
            </a:graphic>
          </wp:inline>
        </w:drawing>
      </w:r>
      <w:r>
        <w:rPr>
          <w:noProof/>
        </w:rPr>
        <w:drawing>
          <wp:inline distT="0" distB="0" distL="0" distR="0" wp14:anchorId="35A6F05F" wp14:editId="60602B73">
            <wp:extent cx="3657600" cy="3657600"/>
            <wp:effectExtent l="25400" t="0" r="0" b="0"/>
            <wp:docPr id="24" name="Picture 7" descr="RplotSrSurveyi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i2.pdf"/>
                    <pic:cNvPicPr/>
                  </pic:nvPicPr>
                  <pic:blipFill>
                    <a:blip r:embed="rId20"/>
                    <a:stretch>
                      <a:fillRect/>
                    </a:stretch>
                  </pic:blipFill>
                  <pic:spPr>
                    <a:xfrm>
                      <a:off x="0" y="0"/>
                      <a:ext cx="3657600" cy="3657600"/>
                    </a:xfrm>
                    <a:prstGeom prst="rect">
                      <a:avLst/>
                    </a:prstGeom>
                  </pic:spPr>
                </pic:pic>
              </a:graphicData>
            </a:graphic>
          </wp:inline>
        </w:drawing>
      </w:r>
    </w:p>
    <w:p w14:paraId="666EEF3B" w14:textId="77777777" w:rsidR="00A93E3B" w:rsidRDefault="00A93E3B" w:rsidP="00A93E3B"/>
    <w:p w14:paraId="48DC9AFA" w14:textId="77777777" w:rsidR="00A93E3B" w:rsidRDefault="00DE3EAC" w:rsidP="00A93E3B">
      <w:r>
        <w:tab/>
        <w:t>Figure 7</w:t>
      </w:r>
      <w:r w:rsidR="00A93E3B">
        <w:t xml:space="preserve">. Satifaction with Major from Psychology </w:t>
      </w:r>
      <w:r>
        <w:tab/>
      </w:r>
      <w:r>
        <w:tab/>
      </w:r>
      <w:r>
        <w:tab/>
        <w:t>Figure 8</w:t>
      </w:r>
      <w:r w:rsidR="00A93E3B">
        <w:t>. Course Satisfaction from Psychology</w:t>
      </w:r>
    </w:p>
    <w:p w14:paraId="52323BEA" w14:textId="77777777" w:rsidR="00A93E3B" w:rsidRDefault="00A93E3B" w:rsidP="00A93E3B">
      <w:r>
        <w:tab/>
        <w:t xml:space="preserve">Department Student Satisfaction Survey. </w:t>
      </w:r>
      <w:r>
        <w:tab/>
      </w:r>
      <w:r>
        <w:tab/>
      </w:r>
      <w:r>
        <w:tab/>
      </w:r>
      <w:r>
        <w:tab/>
        <w:t>Department Student Satisfaction Survey.</w:t>
      </w:r>
    </w:p>
    <w:p w14:paraId="6C316AB4" w14:textId="77777777" w:rsidR="00A93E3B" w:rsidRDefault="00A93E3B" w:rsidP="00A93E3B">
      <w:r>
        <w:tab/>
        <w:t>Bars are +/- 1 standard error.</w:t>
      </w:r>
      <w:r>
        <w:tab/>
      </w:r>
      <w:r>
        <w:tab/>
      </w:r>
      <w:r>
        <w:tab/>
      </w:r>
      <w:r>
        <w:tab/>
      </w:r>
      <w:r>
        <w:tab/>
      </w:r>
      <w:r>
        <w:tab/>
        <w:t>Bars are +/- 1 standard error.</w:t>
      </w:r>
    </w:p>
    <w:p w14:paraId="3ED76E68" w14:textId="77777777" w:rsidR="00A93E3B" w:rsidRDefault="00A93E3B" w:rsidP="00A93E3B"/>
    <w:p w14:paraId="69B35EBA" w14:textId="77777777" w:rsidR="00A93E3B" w:rsidRDefault="00A93E3B" w:rsidP="00A93E3B">
      <w:r>
        <w:rPr>
          <w:noProof/>
        </w:rPr>
        <w:drawing>
          <wp:inline distT="0" distB="0" distL="0" distR="0" wp14:anchorId="646FCACB" wp14:editId="2FC3BCCB">
            <wp:extent cx="3657600" cy="3657600"/>
            <wp:effectExtent l="25400" t="0" r="0" b="0"/>
            <wp:docPr id="25" name="Picture 8" descr="RplotSrSurveyi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i3.pdf"/>
                    <pic:cNvPicPr/>
                  </pic:nvPicPr>
                  <pic:blipFill>
                    <a:blip r:embed="rId21"/>
                    <a:stretch>
                      <a:fillRect/>
                    </a:stretch>
                  </pic:blipFill>
                  <pic:spPr>
                    <a:xfrm>
                      <a:off x="0" y="0"/>
                      <a:ext cx="3657600" cy="3657600"/>
                    </a:xfrm>
                    <a:prstGeom prst="rect">
                      <a:avLst/>
                    </a:prstGeom>
                  </pic:spPr>
                </pic:pic>
              </a:graphicData>
            </a:graphic>
          </wp:inline>
        </w:drawing>
      </w:r>
      <w:r>
        <w:t xml:space="preserve"> </w:t>
      </w:r>
      <w:r>
        <w:rPr>
          <w:noProof/>
        </w:rPr>
        <w:drawing>
          <wp:inline distT="0" distB="0" distL="0" distR="0" wp14:anchorId="032E7292" wp14:editId="27EDEEB5">
            <wp:extent cx="3657600" cy="3657600"/>
            <wp:effectExtent l="25400" t="0" r="0" b="0"/>
            <wp:docPr id="26" name="Picture 9" descr="RplotSrSurveyi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i4.pdf"/>
                    <pic:cNvPicPr/>
                  </pic:nvPicPr>
                  <pic:blipFill>
                    <a:blip r:embed="rId22"/>
                    <a:stretch>
                      <a:fillRect/>
                    </a:stretch>
                  </pic:blipFill>
                  <pic:spPr>
                    <a:xfrm>
                      <a:off x="0" y="0"/>
                      <a:ext cx="3657600" cy="3657600"/>
                    </a:xfrm>
                    <a:prstGeom prst="rect">
                      <a:avLst/>
                    </a:prstGeom>
                  </pic:spPr>
                </pic:pic>
              </a:graphicData>
            </a:graphic>
          </wp:inline>
        </w:drawing>
      </w:r>
    </w:p>
    <w:p w14:paraId="2145E255" w14:textId="77777777" w:rsidR="00A93E3B" w:rsidRDefault="00A93E3B" w:rsidP="00A93E3B"/>
    <w:p w14:paraId="1108ABC7" w14:textId="77777777" w:rsidR="00A93E3B" w:rsidRDefault="00DE3EAC" w:rsidP="00A93E3B">
      <w:r>
        <w:tab/>
        <w:t>Figure 9</w:t>
      </w:r>
      <w:r w:rsidR="00A93E3B">
        <w:t xml:space="preserve">. Satifaction with Research/Field Practicum </w:t>
      </w:r>
      <w:r w:rsidR="00A93E3B">
        <w:tab/>
      </w:r>
      <w:r w:rsidR="00A93E3B">
        <w:tab/>
      </w:r>
      <w:r w:rsidR="00A93E3B">
        <w:tab/>
      </w:r>
      <w:r>
        <w:t>Figure 10</w:t>
      </w:r>
      <w:r w:rsidR="00A93E3B">
        <w:t>. Advising Satisfaction from Psychology</w:t>
      </w:r>
    </w:p>
    <w:p w14:paraId="14B29D0E" w14:textId="77777777" w:rsidR="00A93E3B" w:rsidRDefault="00A93E3B" w:rsidP="00A93E3B">
      <w:r>
        <w:tab/>
        <w:t xml:space="preserve">from Psychology Department Student Satisfaction Survey. </w:t>
      </w:r>
      <w:r>
        <w:tab/>
      </w:r>
      <w:r>
        <w:tab/>
        <w:t>Department Student Satisfaction Survey.</w:t>
      </w:r>
    </w:p>
    <w:p w14:paraId="233FD890" w14:textId="77777777" w:rsidR="00A93E3B" w:rsidRDefault="00A93E3B" w:rsidP="00A93E3B">
      <w:r>
        <w:tab/>
        <w:t>Bars are +/- 1 standard error.</w:t>
      </w:r>
      <w:r>
        <w:tab/>
      </w:r>
      <w:r>
        <w:tab/>
      </w:r>
      <w:r>
        <w:tab/>
      </w:r>
      <w:r>
        <w:tab/>
      </w:r>
      <w:r>
        <w:tab/>
      </w:r>
      <w:r>
        <w:tab/>
        <w:t>Bars are +/- 1 standard error.</w:t>
      </w:r>
    </w:p>
    <w:p w14:paraId="6363C1CF" w14:textId="77777777" w:rsidR="00A93E3B" w:rsidRDefault="00A93E3B" w:rsidP="00A93E3B"/>
    <w:p w14:paraId="050F1691" w14:textId="77777777" w:rsidR="00A93E3B" w:rsidRDefault="00A93E3B" w:rsidP="00A93E3B"/>
    <w:p w14:paraId="2EE16F86" w14:textId="77777777" w:rsidR="00A93E3B" w:rsidRDefault="00A93E3B" w:rsidP="00A93E3B"/>
    <w:p w14:paraId="19804006" w14:textId="77777777" w:rsidR="00A93E3B" w:rsidRDefault="00A93E3B" w:rsidP="00A93E3B"/>
    <w:p w14:paraId="6824DF93" w14:textId="77777777" w:rsidR="00A93E3B" w:rsidRDefault="00A93E3B" w:rsidP="00A93E3B"/>
    <w:p w14:paraId="69A1E97C" w14:textId="77777777" w:rsidR="00A93E3B" w:rsidRPr="00A35471" w:rsidRDefault="00A93E3B" w:rsidP="00A93E3B">
      <w:pPr>
        <w:pStyle w:val="ListParagraph"/>
        <w:numPr>
          <w:ilvl w:val="2"/>
          <w:numId w:val="22"/>
        </w:numPr>
        <w:rPr>
          <w:b/>
        </w:rPr>
      </w:pPr>
      <w:r w:rsidRPr="00A35471">
        <w:rPr>
          <w:b/>
        </w:rPr>
        <w:t>Post-graduation intentions</w:t>
      </w:r>
    </w:p>
    <w:p w14:paraId="03872725" w14:textId="77777777" w:rsidR="00A93E3B" w:rsidRDefault="00A93E3B" w:rsidP="00A93E3B">
      <w:r>
        <w:tab/>
      </w:r>
      <w:r>
        <w:tab/>
      </w:r>
      <w:r>
        <w:tab/>
        <w:t>A majority of students intend to apply to graduate school in Psychology or a related field, 76 and 55% in the latest two semesters. Many of our students are seeking jobs related to psychology, 43 and 45% in the latest surveys. And some students have already accepted a job prior to graduation: 24 and 27%. These results over the</w:t>
      </w:r>
      <w:r w:rsidR="00DE3EAC">
        <w:t xml:space="preserve"> years are plotted in Figures 11 to 13</w:t>
      </w:r>
      <w:r>
        <w:t xml:space="preserve">. (Note: percentages may sum to more than 100 because students could mark multiple options).  These data show a very positive impact of the major on students’ post-graduation intentions, and it is excellent to see that approximately 25% of students are accepting jobs at graduation. </w:t>
      </w:r>
    </w:p>
    <w:p w14:paraId="72F57BE6" w14:textId="77777777" w:rsidR="00A93E3B" w:rsidRDefault="00A93E3B" w:rsidP="00A93E3B"/>
    <w:p w14:paraId="4E9F0F01" w14:textId="77777777" w:rsidR="00A93E3B" w:rsidRDefault="00A93E3B" w:rsidP="00A93E3B"/>
    <w:p w14:paraId="470F7B4B" w14:textId="77777777" w:rsidR="00A93E3B" w:rsidRDefault="00A93E3B" w:rsidP="00A93E3B"/>
    <w:p w14:paraId="37F9D599" w14:textId="77777777" w:rsidR="00A93E3B" w:rsidRDefault="00A93E3B" w:rsidP="00A93E3B"/>
    <w:p w14:paraId="068410E6" w14:textId="77777777" w:rsidR="00A93E3B" w:rsidRDefault="00A93E3B" w:rsidP="00A93E3B">
      <w:r>
        <w:rPr>
          <w:noProof/>
        </w:rPr>
        <w:drawing>
          <wp:inline distT="0" distB="0" distL="0" distR="0" wp14:anchorId="6DEB5AEA" wp14:editId="790BA696">
            <wp:extent cx="3657600" cy="3657600"/>
            <wp:effectExtent l="25400" t="0" r="0" b="0"/>
            <wp:docPr id="27" name="Picture 10" descr="RplotSrSurveyApplyGradSc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ApplyGradSch.pdf"/>
                    <pic:cNvPicPr/>
                  </pic:nvPicPr>
                  <pic:blipFill>
                    <a:blip r:embed="rId23"/>
                    <a:stretch>
                      <a:fillRect/>
                    </a:stretch>
                  </pic:blipFill>
                  <pic:spPr>
                    <a:xfrm>
                      <a:off x="0" y="0"/>
                      <a:ext cx="3657600" cy="3657600"/>
                    </a:xfrm>
                    <a:prstGeom prst="rect">
                      <a:avLst/>
                    </a:prstGeom>
                  </pic:spPr>
                </pic:pic>
              </a:graphicData>
            </a:graphic>
          </wp:inline>
        </w:drawing>
      </w:r>
      <w:r>
        <w:rPr>
          <w:noProof/>
        </w:rPr>
        <w:drawing>
          <wp:inline distT="0" distB="0" distL="0" distR="0" wp14:anchorId="4F02B1C4" wp14:editId="356A8DFC">
            <wp:extent cx="3657600" cy="3657600"/>
            <wp:effectExtent l="25400" t="0" r="0" b="0"/>
            <wp:docPr id="28" name="Picture 11" descr="RplotSrSurveySeekPsychJo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SeekPsychJob.pdf"/>
                    <pic:cNvPicPr/>
                  </pic:nvPicPr>
                  <pic:blipFill>
                    <a:blip r:embed="rId24"/>
                    <a:stretch>
                      <a:fillRect/>
                    </a:stretch>
                  </pic:blipFill>
                  <pic:spPr>
                    <a:xfrm>
                      <a:off x="0" y="0"/>
                      <a:ext cx="3657600" cy="3657600"/>
                    </a:xfrm>
                    <a:prstGeom prst="rect">
                      <a:avLst/>
                    </a:prstGeom>
                  </pic:spPr>
                </pic:pic>
              </a:graphicData>
            </a:graphic>
          </wp:inline>
        </w:drawing>
      </w:r>
      <w:r>
        <w:rPr>
          <w:noProof/>
        </w:rPr>
        <w:drawing>
          <wp:inline distT="0" distB="0" distL="0" distR="0" wp14:anchorId="53D5D7F5" wp14:editId="4DCAC2EC">
            <wp:extent cx="3657600" cy="3657600"/>
            <wp:effectExtent l="25400" t="0" r="0" b="0"/>
            <wp:docPr id="29" name="Picture 12" descr="RplotSrSurveyHasJo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HasJob.pdf"/>
                    <pic:cNvPicPr/>
                  </pic:nvPicPr>
                  <pic:blipFill>
                    <a:blip r:embed="rId25"/>
                    <a:stretch>
                      <a:fillRect/>
                    </a:stretch>
                  </pic:blipFill>
                  <pic:spPr>
                    <a:xfrm>
                      <a:off x="0" y="0"/>
                      <a:ext cx="3657600" cy="3657600"/>
                    </a:xfrm>
                    <a:prstGeom prst="rect">
                      <a:avLst/>
                    </a:prstGeom>
                  </pic:spPr>
                </pic:pic>
              </a:graphicData>
            </a:graphic>
          </wp:inline>
        </w:drawing>
      </w:r>
    </w:p>
    <w:p w14:paraId="1388F184" w14:textId="77777777" w:rsidR="00A93E3B" w:rsidRDefault="00A93E3B" w:rsidP="00A93E3B"/>
    <w:p w14:paraId="07A62402" w14:textId="77777777" w:rsidR="00A93E3B" w:rsidRDefault="00DE3EAC" w:rsidP="00A93E3B">
      <w:r>
        <w:tab/>
        <w:t>Figure 11</w:t>
      </w:r>
      <w:r w:rsidR="00A93E3B">
        <w:t>. Percentage intending to</w:t>
      </w:r>
      <w:r>
        <w:t xml:space="preserve"> apply to Psychology </w:t>
      </w:r>
      <w:r>
        <w:tab/>
      </w:r>
      <w:r>
        <w:tab/>
        <w:t>Figure 12</w:t>
      </w:r>
      <w:r w:rsidR="00A93E3B">
        <w:t>. Percentage seeking Psychology</w:t>
      </w:r>
      <w:r>
        <w:tab/>
      </w:r>
      <w:r>
        <w:tab/>
        <w:t>Figure 13</w:t>
      </w:r>
      <w:r w:rsidR="00A93E3B">
        <w:t xml:space="preserve">. Percentage accepting job at graduation, </w:t>
      </w:r>
    </w:p>
    <w:p w14:paraId="0BC0060B" w14:textId="77777777" w:rsidR="00A93E3B" w:rsidRDefault="00A93E3B" w:rsidP="00A93E3B">
      <w:r>
        <w:tab/>
        <w:t xml:space="preserve">Related Graduate School, from Psychology Department </w:t>
      </w:r>
      <w:r>
        <w:tab/>
      </w:r>
      <w:r>
        <w:tab/>
        <w:t xml:space="preserve">related job, from Department Student </w:t>
      </w:r>
      <w:r>
        <w:tab/>
      </w:r>
      <w:r>
        <w:tab/>
      </w:r>
      <w:r>
        <w:tab/>
        <w:t>from Psychology Department Student Satisfaction Survey.</w:t>
      </w:r>
    </w:p>
    <w:p w14:paraId="60B49901" w14:textId="77777777" w:rsidR="00A93E3B" w:rsidRDefault="00A93E3B" w:rsidP="00A93E3B">
      <w:r>
        <w:tab/>
        <w:t>Student Satisfaction Survey.</w:t>
      </w:r>
      <w:r>
        <w:tab/>
      </w:r>
      <w:r>
        <w:tab/>
      </w:r>
      <w:r>
        <w:tab/>
      </w:r>
      <w:r>
        <w:tab/>
      </w:r>
      <w:r>
        <w:tab/>
      </w:r>
      <w:r>
        <w:tab/>
        <w:t>Satisfaction Survey.</w:t>
      </w:r>
    </w:p>
    <w:p w14:paraId="0B5EA05F" w14:textId="77777777" w:rsidR="00A93E3B" w:rsidRDefault="00A93E3B" w:rsidP="00A93E3B"/>
    <w:p w14:paraId="483B0A4B" w14:textId="77777777" w:rsidR="00A93E3B" w:rsidRDefault="00A93E3B" w:rsidP="00A93E3B"/>
    <w:p w14:paraId="1C06B86A" w14:textId="77777777" w:rsidR="00A93E3B" w:rsidRDefault="00A93E3B" w:rsidP="00A93E3B">
      <w:pPr>
        <w:pStyle w:val="ListParagraph"/>
        <w:numPr>
          <w:ilvl w:val="0"/>
          <w:numId w:val="22"/>
        </w:numPr>
      </w:pPr>
      <w:r>
        <w:rPr>
          <w:b/>
        </w:rPr>
        <w:t>Critical Thinking:</w:t>
      </w:r>
      <w:r w:rsidRPr="00102894">
        <w:rPr>
          <w:b/>
        </w:rPr>
        <w:t xml:space="preserve"> </w:t>
      </w:r>
      <w:r>
        <w:rPr>
          <w:b/>
        </w:rPr>
        <w:t xml:space="preserve">Research Design and Analysis </w:t>
      </w:r>
      <w:r w:rsidRPr="00102894">
        <w:rPr>
          <w:b/>
        </w:rPr>
        <w:t>II.</w:t>
      </w:r>
      <w:r>
        <w:t xml:space="preserve"> We assessed </w:t>
      </w:r>
      <w:r w:rsidRPr="00395DFE">
        <w:rPr>
          <w:b/>
        </w:rPr>
        <w:t>Critical Thinking</w:t>
      </w:r>
      <w:r>
        <w:t xml:space="preserve"> in the context of Psyx 225. This is a required course, and it is expected that students might not perform as well at this point in the development compared to in Senior Thesis, Psyx 499R for which the data were presented above. </w:t>
      </w:r>
    </w:p>
    <w:p w14:paraId="48DD73D4" w14:textId="77777777" w:rsidR="00A93E3B" w:rsidRDefault="00A93E3B" w:rsidP="00A93E3B">
      <w:pPr>
        <w:pStyle w:val="ListParagraph"/>
        <w:numPr>
          <w:ilvl w:val="1"/>
          <w:numId w:val="22"/>
        </w:numPr>
      </w:pPr>
      <w:r w:rsidRPr="006F0E7D">
        <w:t>Two</w:t>
      </w:r>
      <w:r>
        <w:t xml:space="preserve"> coders independently coded</w:t>
      </w:r>
      <w:r w:rsidRPr="006F0E7D">
        <w:t xml:space="preserve"> </w:t>
      </w:r>
      <w:r>
        <w:t xml:space="preserve">final project papers from Fall 2012 Psyx 225 using the LEAP Critical Thinking Rubric. The inter-rater agreement for a subsample of the 28 papers was 66%.  Principal components analysis showed that the 5 items of the LEAP rubric loaded on a single factor, and that the smallest loading was .84 for “Conclusion”. The single factor accounted for 80% of the variance in the data space. We created a composite score by averaging the 5 dimensions on the LEAP rubric, but we also present the results for the individual dimensions. The mean on the composite score was 2.51 on the 4 point scale, a level that is between “Milestone 2” and “Milestone 3”.  </w:t>
      </w:r>
    </w:p>
    <w:p w14:paraId="72B16421" w14:textId="77777777" w:rsidR="00A93E3B" w:rsidRDefault="00A93E3B" w:rsidP="00A93E3B">
      <w:pPr>
        <w:pStyle w:val="ListParagraph"/>
        <w:numPr>
          <w:ilvl w:val="2"/>
          <w:numId w:val="22"/>
        </w:numPr>
      </w:pPr>
      <w:r>
        <w:t>The means of the 5 dimensions of the Critical Thinking rubric are presented in Figure</w:t>
      </w:r>
      <w:r w:rsidR="006F267F">
        <w:t xml:space="preserve"> 14</w:t>
      </w:r>
      <w:r>
        <w:t xml:space="preserve">. The mean scores on the 5 features of critical thinking ranged from 2.3 to 3.0, with the lowest scores for “Influence of Context and Assumptions”.  The standard deviations ranged from .81 to 1.17. The percentages of students scoring at levels 3 and 4 of the LEAP rubric were 68, 53, 32, 46 and 46% for the 5 features. A score of 3 or above indicates performance just below “Capstone”.  The median scores were 3, 3, 2, 2, 2 for the 5 dimensions. Our students are performing well on the dimensions of  “Explanation of Issues” and “Evidence.” We would like to see median performance on the “Context and Assumptions”, “Perspective, Thesis/Hypothesis”, and “Conclusions, Implications, Consequences” advance to level 3 as well. </w:t>
      </w:r>
    </w:p>
    <w:p w14:paraId="1A5B3735" w14:textId="77777777" w:rsidR="00A93E3B" w:rsidRDefault="00A93E3B" w:rsidP="00A93E3B">
      <w:pPr>
        <w:pStyle w:val="ListParagraph"/>
        <w:numPr>
          <w:ilvl w:val="2"/>
          <w:numId w:val="22"/>
        </w:numPr>
      </w:pPr>
      <w:r>
        <w:t>We calculated the correlation between numerical grade on the paper and LEAP rubric composite score in order to assess the degree to which our normal grading procedures incorporate the same elements that are considered in the rubric. The correlation was .80. The scatter plot with regression line i</w:t>
      </w:r>
      <w:r w:rsidR="006F267F">
        <w:t>s presented in Figure 15</w:t>
      </w:r>
      <w:r>
        <w:t xml:space="preserve">. This provides evidence that our normal grading procedure does incorporate the important elements of the LEAP Critical Thinking rubric. The grading was done entirely separately from the coding of the LEAP rubric dimensions. </w:t>
      </w:r>
    </w:p>
    <w:p w14:paraId="3861B16A" w14:textId="77777777" w:rsidR="00A93E3B" w:rsidRDefault="00A93E3B" w:rsidP="00A93E3B"/>
    <w:p w14:paraId="16DFFC16" w14:textId="77777777" w:rsidR="00A93E3B" w:rsidRDefault="00A93E3B" w:rsidP="00A93E3B"/>
    <w:p w14:paraId="29D6A3E5" w14:textId="77777777" w:rsidR="00A93E3B" w:rsidRDefault="00A93E3B" w:rsidP="00A93E3B">
      <w:r>
        <w:rPr>
          <w:noProof/>
        </w:rPr>
        <w:drawing>
          <wp:inline distT="0" distB="0" distL="0" distR="0" wp14:anchorId="76A4A74E" wp14:editId="25B357CB">
            <wp:extent cx="3657600" cy="3657600"/>
            <wp:effectExtent l="25400" t="0" r="0" b="0"/>
            <wp:docPr id="30" name="Picture 14" descr="Rplot225MeansLeap20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225MeansLeap2013.pdf"/>
                    <pic:cNvPicPr/>
                  </pic:nvPicPr>
                  <pic:blipFill>
                    <a:blip r:embed="rId26"/>
                    <a:stretch>
                      <a:fillRect/>
                    </a:stretch>
                  </pic:blipFill>
                  <pic:spPr>
                    <a:xfrm>
                      <a:off x="0" y="0"/>
                      <a:ext cx="3657600" cy="3657600"/>
                    </a:xfrm>
                    <a:prstGeom prst="rect">
                      <a:avLst/>
                    </a:prstGeom>
                  </pic:spPr>
                </pic:pic>
              </a:graphicData>
            </a:graphic>
          </wp:inline>
        </w:drawing>
      </w:r>
      <w:r>
        <w:rPr>
          <w:noProof/>
        </w:rPr>
        <w:drawing>
          <wp:inline distT="0" distB="0" distL="0" distR="0" wp14:anchorId="6C3BD558" wp14:editId="4E747F90">
            <wp:extent cx="3657600" cy="3657600"/>
            <wp:effectExtent l="25400" t="0" r="0" b="0"/>
            <wp:docPr id="31" name="Picture 15" descr="Rplot225GradeXLeapComp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225GradeXLeapCompos.pdf"/>
                    <pic:cNvPicPr/>
                  </pic:nvPicPr>
                  <pic:blipFill>
                    <a:blip r:embed="rId27"/>
                    <a:stretch>
                      <a:fillRect/>
                    </a:stretch>
                  </pic:blipFill>
                  <pic:spPr>
                    <a:xfrm>
                      <a:off x="0" y="0"/>
                      <a:ext cx="3657600" cy="3657600"/>
                    </a:xfrm>
                    <a:prstGeom prst="rect">
                      <a:avLst/>
                    </a:prstGeom>
                  </pic:spPr>
                </pic:pic>
              </a:graphicData>
            </a:graphic>
          </wp:inline>
        </w:drawing>
      </w:r>
    </w:p>
    <w:p w14:paraId="2A5A621B" w14:textId="77777777" w:rsidR="00A93E3B" w:rsidRDefault="00A93E3B" w:rsidP="00A93E3B"/>
    <w:p w14:paraId="68727E72" w14:textId="77777777" w:rsidR="00A93E3B" w:rsidRDefault="00056D02" w:rsidP="00A93E3B">
      <w:r>
        <w:tab/>
        <w:t>Figure 14</w:t>
      </w:r>
      <w:r w:rsidR="00A93E3B">
        <w:t>. Mean scores on the 5 dimensions of the</w:t>
      </w:r>
      <w:r>
        <w:tab/>
      </w:r>
      <w:r>
        <w:tab/>
        <w:t>Figure 15</w:t>
      </w:r>
      <w:r w:rsidR="00A93E3B">
        <w:t>. Scatter plot of Grade on project by LEAP</w:t>
      </w:r>
    </w:p>
    <w:p w14:paraId="0B69D70D" w14:textId="77777777" w:rsidR="00A93E3B" w:rsidRDefault="00A93E3B" w:rsidP="00A93E3B">
      <w:r>
        <w:tab/>
        <w:t>LEAP Critical Thinking rubric in Psyx 225. Bars are</w:t>
      </w:r>
      <w:r>
        <w:tab/>
      </w:r>
      <w:r>
        <w:tab/>
        <w:t xml:space="preserve">composite score with regression line. </w:t>
      </w:r>
    </w:p>
    <w:p w14:paraId="766BB5F5" w14:textId="77777777" w:rsidR="00A93E3B" w:rsidRDefault="00A93E3B" w:rsidP="00A93E3B">
      <w:r>
        <w:tab/>
        <w:t xml:space="preserve">+/- 1 standard error. </w:t>
      </w:r>
    </w:p>
    <w:p w14:paraId="1D30669A" w14:textId="77777777" w:rsidR="00A93E3B" w:rsidRDefault="00A93E3B" w:rsidP="00A93E3B"/>
    <w:p w14:paraId="64DCD951" w14:textId="77777777" w:rsidR="00A93E3B" w:rsidRDefault="00A93E3B" w:rsidP="00A93E3B"/>
    <w:p w14:paraId="0789DB2F" w14:textId="77777777" w:rsidR="00A93E3B" w:rsidRDefault="00A93E3B" w:rsidP="00A93E3B"/>
    <w:p w14:paraId="4EAA5CFC" w14:textId="77777777" w:rsidR="00A93E3B" w:rsidRDefault="001632FA" w:rsidP="00A93E3B">
      <w:r>
        <w:br w:type="page"/>
      </w:r>
    </w:p>
    <w:p w14:paraId="78BE1140" w14:textId="77777777" w:rsidR="00A93E3B" w:rsidRDefault="00A93E3B" w:rsidP="00A93E3B">
      <w:pPr>
        <w:pStyle w:val="ListParagraph"/>
        <w:numPr>
          <w:ilvl w:val="0"/>
          <w:numId w:val="22"/>
        </w:numPr>
      </w:pPr>
      <w:r w:rsidRPr="007A4B76">
        <w:rPr>
          <w:b/>
        </w:rPr>
        <w:t>Quantitative Literacy</w:t>
      </w:r>
      <w:r>
        <w:t xml:space="preserve">, Psyx 223, Research Design and Analysis I. </w:t>
      </w:r>
    </w:p>
    <w:p w14:paraId="2EA8BF0F" w14:textId="77777777" w:rsidR="00A93E3B" w:rsidRDefault="00A93E3B" w:rsidP="00A93E3B">
      <w:pPr>
        <w:pStyle w:val="ListParagraph"/>
        <w:numPr>
          <w:ilvl w:val="1"/>
          <w:numId w:val="22"/>
        </w:numPr>
      </w:pPr>
      <w:r>
        <w:t>One coder (not the instructor) applied the Quantitative Literacy LEAP rubric to the second assigned class project for a class of 47 students. The project covers aspects of inferential statistics and applications.  Principal components analysis showed that the 6 dimensions of the LEAP rubric loaded on a single factor, and that the smallest loading was .50 for “Calculation”, while all other items loaded above .75.  The single factor accounted for 64% of variance. We created a composite score by averaging the 6 dimensions on the LEAP rubric, but we also present the results for the individual dimensions. The mean on the composite score was 3.11 on a 4-point scale, with a</w:t>
      </w:r>
      <w:r w:rsidR="003E3523">
        <w:t xml:space="preserve"> standard deviation of .60. The</w:t>
      </w:r>
      <w:r>
        <w:t xml:space="preserve"> median of the composite score was 3.17, showing that over half of the students are performing at “Milestone 3”. We retained individual identification information so that at a later date we can relate performance in Quantitative Literacy to later performance on the capstone rubrics. </w:t>
      </w:r>
    </w:p>
    <w:p w14:paraId="1AB67134" w14:textId="77777777" w:rsidR="00A93E3B" w:rsidRDefault="00A93E3B" w:rsidP="00A93E3B">
      <w:pPr>
        <w:pStyle w:val="ListParagraph"/>
        <w:numPr>
          <w:ilvl w:val="1"/>
          <w:numId w:val="22"/>
        </w:numPr>
      </w:pPr>
      <w:r>
        <w:t>The means on the separate dimensions ranged from 2.65 to 3.61, and standard deviations ranged from .60 to .89. The means on the 6 dimen</w:t>
      </w:r>
      <w:r w:rsidR="00F712D1">
        <w:t>sions are presented in Figure 16</w:t>
      </w:r>
      <w:r>
        <w:t xml:space="preserve">. The medians were all 3 except that “Representation” had a median of 4. This shows that students are performing especially well at representing problems. </w:t>
      </w:r>
    </w:p>
    <w:p w14:paraId="642187B1" w14:textId="77777777" w:rsidR="00A93E3B" w:rsidRDefault="00A93E3B" w:rsidP="00A93E3B"/>
    <w:p w14:paraId="755F8D28" w14:textId="77777777" w:rsidR="00A93E3B" w:rsidRDefault="00A93E3B" w:rsidP="00A93E3B">
      <w:r>
        <w:rPr>
          <w:noProof/>
        </w:rPr>
        <w:drawing>
          <wp:inline distT="0" distB="0" distL="0" distR="0" wp14:anchorId="664E950C" wp14:editId="6FB8D01D">
            <wp:extent cx="3657600" cy="3657600"/>
            <wp:effectExtent l="25400" t="0" r="0" b="0"/>
            <wp:docPr id="32" name="Picture 16" descr="Rplot223LeapMeans20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223LeapMeans2013.pdf"/>
                    <pic:cNvPicPr/>
                  </pic:nvPicPr>
                  <pic:blipFill>
                    <a:blip r:embed="rId28"/>
                    <a:stretch>
                      <a:fillRect/>
                    </a:stretch>
                  </pic:blipFill>
                  <pic:spPr>
                    <a:xfrm>
                      <a:off x="0" y="0"/>
                      <a:ext cx="3657600" cy="3657600"/>
                    </a:xfrm>
                    <a:prstGeom prst="rect">
                      <a:avLst/>
                    </a:prstGeom>
                  </pic:spPr>
                </pic:pic>
              </a:graphicData>
            </a:graphic>
          </wp:inline>
        </w:drawing>
      </w:r>
    </w:p>
    <w:p w14:paraId="6DB71B09" w14:textId="77777777" w:rsidR="00A93E3B" w:rsidRDefault="00A93E3B" w:rsidP="00A93E3B"/>
    <w:p w14:paraId="24950A81" w14:textId="77777777" w:rsidR="00A93E3B" w:rsidRDefault="001632FA" w:rsidP="00A93E3B">
      <w:r>
        <w:tab/>
        <w:t>Figure 16</w:t>
      </w:r>
      <w:r w:rsidR="00A93E3B">
        <w:t>. Mean scores on the Quantitative Literacy</w:t>
      </w:r>
    </w:p>
    <w:p w14:paraId="04C0AF70" w14:textId="77777777" w:rsidR="00A93E3B" w:rsidRDefault="00A93E3B" w:rsidP="00A93E3B">
      <w:r>
        <w:tab/>
        <w:t>LEAP rubric in Psyx 223. Bars are +/- 1 standard error.</w:t>
      </w:r>
    </w:p>
    <w:p w14:paraId="6F17147B" w14:textId="77777777" w:rsidR="00A93E3B" w:rsidRDefault="00A93E3B" w:rsidP="00A93E3B"/>
    <w:p w14:paraId="6379A6BF" w14:textId="77777777" w:rsidR="00A93E3B" w:rsidRDefault="00A93E3B" w:rsidP="00A93E3B"/>
    <w:p w14:paraId="4CFED529" w14:textId="77777777" w:rsidR="00A93E3B" w:rsidRDefault="00A93E3B" w:rsidP="00A93E3B"/>
    <w:p w14:paraId="674475AF" w14:textId="77777777" w:rsidR="00A93E3B" w:rsidRDefault="00A93E3B" w:rsidP="00A93E3B"/>
    <w:p w14:paraId="4863BB13" w14:textId="77777777" w:rsidR="00A93E3B" w:rsidRPr="006158B4" w:rsidRDefault="00A93E3B" w:rsidP="00A93E3B"/>
    <w:p w14:paraId="350CB573" w14:textId="2206F0DF" w:rsidR="00A93E3B" w:rsidRDefault="00A93E3B" w:rsidP="00A93E3B">
      <w:pPr>
        <w:pStyle w:val="ListParagraph"/>
        <w:numPr>
          <w:ilvl w:val="0"/>
          <w:numId w:val="22"/>
        </w:numPr>
      </w:pPr>
      <w:r w:rsidRPr="002618E1">
        <w:rPr>
          <w:b/>
        </w:rPr>
        <w:t>Knowledge Base of Psychology:</w:t>
      </w:r>
      <w:r>
        <w:t xml:space="preserve"> Criterion-referenced test items.  To assess the content knowledge base, instructors in several courses chose 10 to 15 multiple choice items that represent important concepts in the field covered by the course, and that had been administered in class. </w:t>
      </w:r>
      <w:r w:rsidR="00B7330C">
        <w:t>For 4 of the 5 courses, a</w:t>
      </w:r>
      <w:r>
        <w:t xml:space="preserve">t least one other faculty member (not the instructor) examined the test items and judged whether each item represented a concept that is important to the course. The scores reported below are for those items that faculty agreed to be assessments of important concepts for the target course. At least 8 </w:t>
      </w:r>
      <w:r w:rsidR="000937D7">
        <w:t xml:space="preserve">items were agreed on for each course reported below. </w:t>
      </w:r>
      <w:r>
        <w:t xml:space="preserve">The verbatim items are available in a supplement </w:t>
      </w:r>
      <w:r w:rsidR="006643E1">
        <w:t>from</w:t>
      </w:r>
      <w:r>
        <w:t xml:space="preserve"> the Department. </w:t>
      </w:r>
    </w:p>
    <w:p w14:paraId="4399C5AF" w14:textId="77777777" w:rsidR="00A93E3B" w:rsidRDefault="00A93E3B" w:rsidP="00A93E3B">
      <w:pPr>
        <w:pStyle w:val="ListParagraph"/>
        <w:numPr>
          <w:ilvl w:val="1"/>
          <w:numId w:val="22"/>
        </w:numPr>
      </w:pPr>
      <w:r w:rsidRPr="00577B93">
        <w:rPr>
          <w:b/>
        </w:rPr>
        <w:t>Memory &amp; Cognition, Psyx 380</w:t>
      </w:r>
      <w:r>
        <w:t xml:space="preserve">.  This course is offered every semester and covers material that is central to psychology. Scores on the criterion referenced items ranged from 61 to 98% correct. The overall mean performance on the exams was approximately 80% correct, while the mean on the key concept criterion referenced items was 84%.  Items covered concepts such as semantic memory and priming, mental rotation, language processing, and reasoning processes. </w:t>
      </w:r>
    </w:p>
    <w:p w14:paraId="7D419A4B" w14:textId="77777777" w:rsidR="00A93E3B" w:rsidRDefault="00A93E3B" w:rsidP="00A93E3B">
      <w:pPr>
        <w:pStyle w:val="ListParagraph"/>
        <w:numPr>
          <w:ilvl w:val="1"/>
          <w:numId w:val="22"/>
        </w:numPr>
      </w:pPr>
      <w:r w:rsidRPr="0090521D">
        <w:rPr>
          <w:b/>
        </w:rPr>
        <w:t>Psychology of Learning, Psyx 370</w:t>
      </w:r>
      <w:r>
        <w:t xml:space="preserve">. This course or Psyx 270 is offered every semester and covers material that is central to understanding psychological principles of behavior change. Scores on the criterion referenced items ranged from 72 to 94% correct. The mean on the criterion referenced items was 86%. The items covered concepts such as the definitions of reinforcing events, extinction, avoidance conditioning, and schedules of reinforcement. </w:t>
      </w:r>
    </w:p>
    <w:p w14:paraId="58C939A3" w14:textId="77777777" w:rsidR="00A93E3B" w:rsidRDefault="00A93E3B" w:rsidP="00A93E3B">
      <w:pPr>
        <w:pStyle w:val="ListParagraph"/>
        <w:numPr>
          <w:ilvl w:val="1"/>
          <w:numId w:val="22"/>
        </w:numPr>
      </w:pPr>
      <w:r w:rsidRPr="00C83BB8">
        <w:rPr>
          <w:b/>
        </w:rPr>
        <w:t>Judgment and Decision Making, Psyx 481</w:t>
      </w:r>
      <w:r>
        <w:t>. This is an advanced course that covers relatively difficult material, although the material is highly applicable to everyday reasoning processes. Scores on the criterion referenced items ranged between 44 and 91% correct, with a mean of 74.5%. The items covered concepts such as the ‘sunk cost’ effect, endowment effect, effects of mood on decision making style, overconfidence, framing effects, and Prospect Theory.</w:t>
      </w:r>
    </w:p>
    <w:p w14:paraId="3AB50EF0" w14:textId="77777777" w:rsidR="00A93E3B" w:rsidRDefault="00A93E3B" w:rsidP="00A93E3B">
      <w:pPr>
        <w:pStyle w:val="ListParagraph"/>
        <w:numPr>
          <w:ilvl w:val="1"/>
          <w:numId w:val="22"/>
        </w:numPr>
      </w:pPr>
      <w:r w:rsidRPr="0006232D">
        <w:rPr>
          <w:b/>
        </w:rPr>
        <w:t xml:space="preserve">Social Psychology, Psyx 360. </w:t>
      </w:r>
      <w:r>
        <w:t>This is a service course that is currently offered every semester. Scores on the items ranged from 83 t</w:t>
      </w:r>
      <w:r w:rsidR="00D41F83">
        <w:t>o 97% correct, with a mean of 90</w:t>
      </w:r>
      <w:r>
        <w:t xml:space="preserve">%. Items covered concepts such as variables influencing prosocial behavior, </w:t>
      </w:r>
      <w:r w:rsidR="00EF759D">
        <w:t xml:space="preserve">aggressive behavior, </w:t>
      </w:r>
      <w:r>
        <w:t xml:space="preserve">framing effects, stereotyping, inter-group conflict, effects of rewards on motivation, and effects of social expectations. </w:t>
      </w:r>
    </w:p>
    <w:p w14:paraId="428A0E5B" w14:textId="3C90A645" w:rsidR="00AB7B73" w:rsidRDefault="00AB7B73" w:rsidP="00A93E3B">
      <w:pPr>
        <w:pStyle w:val="ListParagraph"/>
        <w:numPr>
          <w:ilvl w:val="1"/>
          <w:numId w:val="22"/>
        </w:numPr>
      </w:pPr>
      <w:r>
        <w:rPr>
          <w:b/>
        </w:rPr>
        <w:t>Psychology of Aging, Psyx 333.</w:t>
      </w:r>
      <w:r>
        <w:t xml:space="preserve"> This course is offered annually if possible and covers material that integrates social, cognitive and developmental psychology around topics in aging. </w:t>
      </w:r>
      <w:r w:rsidR="008A0203">
        <w:t>Scores on the criterion-referenced items ranged from 67 to 90% correct, with a mean of  79.3%. Items covered concepts such as biological aspects of aging, medical issues in aging, cognitive and memory function in aging, discrimination and the social psychology of aging.</w:t>
      </w:r>
    </w:p>
    <w:p w14:paraId="38C8FD0F" w14:textId="77777777" w:rsidR="00F32A52" w:rsidRDefault="00F32A52" w:rsidP="00F32A52"/>
    <w:p w14:paraId="061B0024" w14:textId="59192109" w:rsidR="00A60B91" w:rsidRDefault="00A60B91" w:rsidP="00F32A52">
      <w:r>
        <w:rPr>
          <w:noProof/>
        </w:rPr>
        <w:drawing>
          <wp:inline distT="0" distB="0" distL="0" distR="0" wp14:anchorId="341533B5" wp14:editId="06829A84">
            <wp:extent cx="3968496" cy="3968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ContentKnowledgebyCourse2014.pdf"/>
                    <pic:cNvPicPr/>
                  </pic:nvPicPr>
                  <pic:blipFill>
                    <a:blip r:embed="rId29">
                      <a:extLst>
                        <a:ext uri="{28A0092B-C50C-407E-A947-70E740481C1C}">
                          <a14:useLocalDpi xmlns:a14="http://schemas.microsoft.com/office/drawing/2010/main" val="0"/>
                        </a:ext>
                      </a:extLst>
                    </a:blip>
                    <a:stretch>
                      <a:fillRect/>
                    </a:stretch>
                  </pic:blipFill>
                  <pic:spPr>
                    <a:xfrm>
                      <a:off x="0" y="0"/>
                      <a:ext cx="3968496" cy="3968496"/>
                    </a:xfrm>
                    <a:prstGeom prst="rect">
                      <a:avLst/>
                    </a:prstGeom>
                  </pic:spPr>
                </pic:pic>
              </a:graphicData>
            </a:graphic>
          </wp:inline>
        </w:drawing>
      </w:r>
    </w:p>
    <w:p w14:paraId="5B6E6243" w14:textId="77777777" w:rsidR="00A60B91" w:rsidRDefault="00A60B91" w:rsidP="00F32A52"/>
    <w:p w14:paraId="681E1D4E" w14:textId="77777777" w:rsidR="00A60B91" w:rsidRDefault="00A60B91" w:rsidP="00F32A52">
      <w:r>
        <w:t>Figure 17. Mean percentage correct on the criterion-referenced test items</w:t>
      </w:r>
    </w:p>
    <w:p w14:paraId="12A473E4" w14:textId="39327D1A" w:rsidR="00A60B91" w:rsidRDefault="00A60B91" w:rsidP="00F32A52">
      <w:r>
        <w:t>by course. Bars are the highest and lowest mean percentage correct for</w:t>
      </w:r>
    </w:p>
    <w:p w14:paraId="662BCBB3" w14:textId="60F61793" w:rsidR="00A60B91" w:rsidRDefault="00A60B91" w:rsidP="00F32A52">
      <w:r>
        <w:t xml:space="preserve">criterion referenced items for the individual course. </w:t>
      </w:r>
    </w:p>
    <w:p w14:paraId="4F0AD62B" w14:textId="77777777" w:rsidR="00A93E3B" w:rsidRPr="00D8618F" w:rsidRDefault="00A93E3B" w:rsidP="00A93E3B"/>
    <w:p w14:paraId="6DC70650" w14:textId="77777777" w:rsidR="00A93E3B" w:rsidRPr="00D8618F" w:rsidRDefault="00A93E3B" w:rsidP="00A93E3B"/>
    <w:p w14:paraId="22711DAA" w14:textId="49B0D71C" w:rsidR="005C1A18" w:rsidRDefault="005C1A18" w:rsidP="001F7ED9">
      <w:pPr>
        <w:rPr>
          <w:b/>
        </w:rPr>
      </w:pPr>
      <w:r>
        <w:rPr>
          <w:b/>
        </w:rPr>
        <w:t>V. Other metrics: Engagement, Outreach and Integration of Learning and Engagement</w:t>
      </w:r>
    </w:p>
    <w:p w14:paraId="1BABFD0B" w14:textId="77777777" w:rsidR="005C1A18" w:rsidRDefault="005C1A18" w:rsidP="001F7ED9">
      <w:pPr>
        <w:rPr>
          <w:b/>
        </w:rPr>
      </w:pPr>
    </w:p>
    <w:p w14:paraId="1DC20423" w14:textId="77777777" w:rsidR="005C1A18" w:rsidRPr="00CD65EC" w:rsidRDefault="005C1A18" w:rsidP="00C4381D">
      <w:pPr>
        <w:pStyle w:val="ListParagraph"/>
        <w:numPr>
          <w:ilvl w:val="0"/>
          <w:numId w:val="26"/>
        </w:numPr>
      </w:pPr>
      <w:r w:rsidRPr="00CD65EC">
        <w:t>T</w:t>
      </w:r>
      <w:r>
        <w:t>he notable</w:t>
      </w:r>
      <w:r w:rsidRPr="00CD65EC">
        <w:t xml:space="preserve"> strengths of our undergra</w:t>
      </w:r>
      <w:r>
        <w:t>duate major are the twin emphase</w:t>
      </w:r>
      <w:r w:rsidRPr="00CD65EC">
        <w:t>s on Psychology as a science combined with the opportunity to be involved in both research (Psyx 490R) and Field Practicum (Psyx 495). The structure of our curriculum contributes strongly to MSU’s strategic goal of increasing student engagement in both community service and research.  In the last 5 years we taught over 300 students in 945 SCH of Research (Psyx 490R) and 225 students in 675 SCH o</w:t>
      </w:r>
      <w:r>
        <w:t>f Field Practicum (Psyx 495). (S</w:t>
      </w:r>
      <w:r w:rsidRPr="00CD65EC">
        <w:t>ee Table 1</w:t>
      </w:r>
      <w:r>
        <w:t>.</w:t>
      </w:r>
      <w:r w:rsidRPr="00CD65EC">
        <w:t xml:space="preserve">) </w:t>
      </w:r>
    </w:p>
    <w:p w14:paraId="37257254" w14:textId="77777777" w:rsidR="005C1A18" w:rsidRPr="00CD65EC" w:rsidRDefault="005C1A18" w:rsidP="00C4381D">
      <w:pPr>
        <w:pStyle w:val="ListParagraph"/>
        <w:numPr>
          <w:ilvl w:val="0"/>
          <w:numId w:val="26"/>
        </w:numPr>
      </w:pPr>
      <w:r w:rsidRPr="00CD65EC">
        <w:t xml:space="preserve">Another strength of our curriculum is </w:t>
      </w:r>
      <w:r>
        <w:t xml:space="preserve">research involvement and </w:t>
      </w:r>
      <w:r w:rsidRPr="00CD65EC">
        <w:t>the Senior Thesis requirement. The senior thesis requires students to integrate their psychology major around a topic of their own choice. The course requires that students develop a project, write a grant proposal, generate data (often fake data are used because the requirement is for one semester only), analyze and interpret the results, and present either a poster or talk on the project. Students often use the Senior Thesis to integrate their research (Psyx 490R) or field practicum (Psyx 495) with their background in research methods and other coursework. The integration of learning and engagement is a major aspect of MSU’s current strategic plan, and the Psychology Department’s Senior Thesis course is an example of such integration. Over the last 5 years we have tau</w:t>
      </w:r>
      <w:r>
        <w:t>ght approximately 55 students per year</w:t>
      </w:r>
      <w:r w:rsidRPr="00CD65EC">
        <w:t xml:space="preserve"> in Senior Thesis for approximately </w:t>
      </w:r>
      <w:r>
        <w:t>845</w:t>
      </w:r>
      <w:r w:rsidRPr="00CD65EC">
        <w:t xml:space="preserve"> SCH (see Table 1). </w:t>
      </w:r>
    </w:p>
    <w:p w14:paraId="329FE286" w14:textId="77777777" w:rsidR="005C1A18" w:rsidRPr="00CD65EC" w:rsidRDefault="005C1A18" w:rsidP="005C1A18">
      <w:pPr>
        <w:ind w:left="360"/>
      </w:pPr>
    </w:p>
    <w:p w14:paraId="3AC1F8A2" w14:textId="77777777" w:rsidR="005C1A18" w:rsidRDefault="005C1A18" w:rsidP="005C1A18">
      <w:pPr>
        <w:ind w:left="1440"/>
        <w:jc w:val="center"/>
      </w:pPr>
      <w:r w:rsidRPr="00CD65EC">
        <w:t>Table 1: 5 year total of Engagement, Outreach and Integration</w:t>
      </w:r>
      <w:r>
        <w:t xml:space="preserve"> </w:t>
      </w:r>
    </w:p>
    <w:p w14:paraId="3E6C4368" w14:textId="77777777" w:rsidR="005C1A18" w:rsidRDefault="005C1A18" w:rsidP="005C1A18">
      <w:pPr>
        <w:ind w:left="1440"/>
        <w:jc w:val="center"/>
      </w:pPr>
      <w:r>
        <w:t>Formal Coursework b</w:t>
      </w:r>
      <w:r w:rsidRPr="00CD65EC">
        <w:t>y Undergraduate Psychology Majors</w:t>
      </w:r>
    </w:p>
    <w:p w14:paraId="5A62BD7A" w14:textId="77777777" w:rsidR="005C1A18" w:rsidRPr="00CD65EC" w:rsidRDefault="005C1A18" w:rsidP="005C1A18">
      <w:pPr>
        <w:ind w:left="1800"/>
        <w:jc w:val="center"/>
      </w:pPr>
    </w:p>
    <w:tbl>
      <w:tblPr>
        <w:tblW w:w="6512" w:type="dxa"/>
        <w:jc w:val="center"/>
        <w:tblInd w:w="2160" w:type="dxa"/>
        <w:tblLook w:val="0000" w:firstRow="0" w:lastRow="0" w:firstColumn="0" w:lastColumn="0" w:noHBand="0" w:noVBand="0"/>
      </w:tblPr>
      <w:tblGrid>
        <w:gridCol w:w="1628"/>
        <w:gridCol w:w="1628"/>
        <w:gridCol w:w="1628"/>
        <w:gridCol w:w="1628"/>
      </w:tblGrid>
      <w:tr w:rsidR="005C1A18" w:rsidRPr="00CD65EC" w14:paraId="7306775B" w14:textId="77777777" w:rsidTr="00C5194B">
        <w:trPr>
          <w:trHeight w:val="247"/>
          <w:jc w:val="center"/>
        </w:trPr>
        <w:tc>
          <w:tcPr>
            <w:tcW w:w="1628" w:type="dxa"/>
            <w:tcBorders>
              <w:top w:val="nil"/>
              <w:left w:val="nil"/>
              <w:bottom w:val="nil"/>
              <w:right w:val="nil"/>
            </w:tcBorders>
            <w:shd w:val="clear" w:color="auto" w:fill="auto"/>
            <w:noWrap/>
            <w:vAlign w:val="bottom"/>
          </w:tcPr>
          <w:p w14:paraId="190BE337" w14:textId="77777777" w:rsidR="005C1A18" w:rsidRPr="00CD65EC" w:rsidRDefault="005C1A18" w:rsidP="00C5194B">
            <w:pPr>
              <w:jc w:val="center"/>
              <w:rPr>
                <w:b/>
                <w:bCs/>
                <w:sz w:val="20"/>
                <w:szCs w:val="20"/>
              </w:rPr>
            </w:pPr>
            <w:r w:rsidRPr="00CD65EC">
              <w:rPr>
                <w:b/>
                <w:bCs/>
                <w:sz w:val="20"/>
                <w:szCs w:val="20"/>
              </w:rPr>
              <w:t>MSU Strategic Goal</w:t>
            </w:r>
          </w:p>
        </w:tc>
        <w:tc>
          <w:tcPr>
            <w:tcW w:w="1628" w:type="dxa"/>
            <w:tcBorders>
              <w:top w:val="nil"/>
              <w:left w:val="nil"/>
              <w:bottom w:val="nil"/>
              <w:right w:val="nil"/>
            </w:tcBorders>
            <w:shd w:val="clear" w:color="auto" w:fill="auto"/>
            <w:noWrap/>
            <w:vAlign w:val="bottom"/>
          </w:tcPr>
          <w:p w14:paraId="78186C0D" w14:textId="77777777" w:rsidR="005C1A18" w:rsidRPr="00CD65EC" w:rsidRDefault="005C1A18" w:rsidP="00C5194B">
            <w:pPr>
              <w:jc w:val="center"/>
              <w:rPr>
                <w:b/>
                <w:bCs/>
                <w:sz w:val="20"/>
                <w:szCs w:val="20"/>
              </w:rPr>
            </w:pPr>
            <w:r w:rsidRPr="00CD65EC">
              <w:rPr>
                <w:b/>
                <w:bCs/>
                <w:sz w:val="20"/>
                <w:szCs w:val="20"/>
              </w:rPr>
              <w:t>Course</w:t>
            </w:r>
          </w:p>
        </w:tc>
        <w:tc>
          <w:tcPr>
            <w:tcW w:w="1628" w:type="dxa"/>
            <w:tcBorders>
              <w:top w:val="nil"/>
              <w:left w:val="nil"/>
              <w:bottom w:val="nil"/>
              <w:right w:val="nil"/>
            </w:tcBorders>
            <w:shd w:val="clear" w:color="auto" w:fill="auto"/>
            <w:noWrap/>
            <w:vAlign w:val="bottom"/>
          </w:tcPr>
          <w:p w14:paraId="5BF61BF7" w14:textId="77777777" w:rsidR="005C1A18" w:rsidRPr="00CD65EC" w:rsidRDefault="005C1A18" w:rsidP="00C5194B">
            <w:pPr>
              <w:jc w:val="center"/>
              <w:rPr>
                <w:b/>
                <w:bCs/>
                <w:sz w:val="20"/>
                <w:szCs w:val="20"/>
              </w:rPr>
            </w:pPr>
            <w:r w:rsidRPr="00CD65EC">
              <w:rPr>
                <w:b/>
                <w:bCs/>
                <w:sz w:val="20"/>
                <w:szCs w:val="20"/>
              </w:rPr>
              <w:t>SCH</w:t>
            </w:r>
          </w:p>
        </w:tc>
        <w:tc>
          <w:tcPr>
            <w:tcW w:w="1628" w:type="dxa"/>
            <w:tcBorders>
              <w:top w:val="nil"/>
              <w:left w:val="nil"/>
              <w:bottom w:val="nil"/>
              <w:right w:val="nil"/>
            </w:tcBorders>
            <w:shd w:val="clear" w:color="auto" w:fill="auto"/>
            <w:noWrap/>
            <w:vAlign w:val="bottom"/>
          </w:tcPr>
          <w:p w14:paraId="0B9BCCA4" w14:textId="77777777" w:rsidR="005C1A18" w:rsidRPr="00CD65EC" w:rsidRDefault="005C1A18" w:rsidP="00C5194B">
            <w:pPr>
              <w:jc w:val="center"/>
              <w:rPr>
                <w:b/>
                <w:bCs/>
                <w:sz w:val="20"/>
                <w:szCs w:val="20"/>
              </w:rPr>
            </w:pPr>
            <w:r w:rsidRPr="00CD65EC">
              <w:rPr>
                <w:b/>
                <w:bCs/>
                <w:sz w:val="20"/>
                <w:szCs w:val="20"/>
              </w:rPr>
              <w:t>Student FTE</w:t>
            </w:r>
          </w:p>
        </w:tc>
      </w:tr>
      <w:tr w:rsidR="005C1A18" w:rsidRPr="00CD65EC" w14:paraId="141514D1" w14:textId="77777777" w:rsidTr="00C5194B">
        <w:trPr>
          <w:trHeight w:val="247"/>
          <w:jc w:val="center"/>
        </w:trPr>
        <w:tc>
          <w:tcPr>
            <w:tcW w:w="1628" w:type="dxa"/>
            <w:tcBorders>
              <w:top w:val="nil"/>
              <w:left w:val="nil"/>
              <w:bottom w:val="nil"/>
              <w:right w:val="nil"/>
            </w:tcBorders>
            <w:shd w:val="clear" w:color="auto" w:fill="auto"/>
            <w:noWrap/>
            <w:vAlign w:val="bottom"/>
          </w:tcPr>
          <w:p w14:paraId="5A1DDEB6" w14:textId="77777777" w:rsidR="005C1A18" w:rsidRPr="00CD65EC" w:rsidRDefault="005C1A18" w:rsidP="00C5194B">
            <w:pPr>
              <w:jc w:val="center"/>
              <w:rPr>
                <w:sz w:val="20"/>
                <w:szCs w:val="20"/>
              </w:rPr>
            </w:pPr>
            <w:r w:rsidRPr="00CD65EC">
              <w:rPr>
                <w:sz w:val="20"/>
                <w:szCs w:val="20"/>
              </w:rPr>
              <w:t>Engagement</w:t>
            </w:r>
          </w:p>
        </w:tc>
        <w:tc>
          <w:tcPr>
            <w:tcW w:w="1628" w:type="dxa"/>
            <w:tcBorders>
              <w:top w:val="nil"/>
              <w:left w:val="nil"/>
              <w:bottom w:val="nil"/>
              <w:right w:val="nil"/>
            </w:tcBorders>
            <w:shd w:val="clear" w:color="auto" w:fill="auto"/>
            <w:noWrap/>
            <w:vAlign w:val="bottom"/>
          </w:tcPr>
          <w:p w14:paraId="46F5C150" w14:textId="77777777" w:rsidR="005C1A18" w:rsidRPr="00CD65EC" w:rsidRDefault="005C1A18" w:rsidP="00C5194B">
            <w:pPr>
              <w:jc w:val="center"/>
              <w:rPr>
                <w:sz w:val="20"/>
                <w:szCs w:val="20"/>
              </w:rPr>
            </w:pPr>
            <w:r w:rsidRPr="00CD65EC">
              <w:rPr>
                <w:sz w:val="20"/>
                <w:szCs w:val="20"/>
              </w:rPr>
              <w:t>Research 490R</w:t>
            </w:r>
          </w:p>
        </w:tc>
        <w:tc>
          <w:tcPr>
            <w:tcW w:w="1628" w:type="dxa"/>
            <w:tcBorders>
              <w:top w:val="nil"/>
              <w:left w:val="nil"/>
              <w:bottom w:val="nil"/>
              <w:right w:val="nil"/>
            </w:tcBorders>
            <w:shd w:val="clear" w:color="auto" w:fill="auto"/>
            <w:noWrap/>
            <w:vAlign w:val="bottom"/>
          </w:tcPr>
          <w:p w14:paraId="5D05E1B1" w14:textId="77777777" w:rsidR="005C1A18" w:rsidRPr="00CD65EC" w:rsidRDefault="005C1A18" w:rsidP="00C5194B">
            <w:pPr>
              <w:jc w:val="center"/>
              <w:rPr>
                <w:sz w:val="20"/>
                <w:szCs w:val="20"/>
              </w:rPr>
            </w:pPr>
            <w:r w:rsidRPr="00CD65EC">
              <w:rPr>
                <w:sz w:val="20"/>
                <w:szCs w:val="20"/>
              </w:rPr>
              <w:t>945</w:t>
            </w:r>
          </w:p>
        </w:tc>
        <w:tc>
          <w:tcPr>
            <w:tcW w:w="1628" w:type="dxa"/>
            <w:tcBorders>
              <w:top w:val="nil"/>
              <w:left w:val="nil"/>
              <w:bottom w:val="nil"/>
              <w:right w:val="nil"/>
            </w:tcBorders>
            <w:shd w:val="clear" w:color="auto" w:fill="auto"/>
            <w:noWrap/>
            <w:vAlign w:val="bottom"/>
          </w:tcPr>
          <w:p w14:paraId="45B03604" w14:textId="77777777" w:rsidR="005C1A18" w:rsidRPr="00CD65EC" w:rsidRDefault="005C1A18" w:rsidP="00C5194B">
            <w:pPr>
              <w:jc w:val="center"/>
              <w:rPr>
                <w:sz w:val="20"/>
                <w:szCs w:val="20"/>
              </w:rPr>
            </w:pPr>
            <w:r w:rsidRPr="00CD65EC">
              <w:rPr>
                <w:sz w:val="20"/>
                <w:szCs w:val="20"/>
              </w:rPr>
              <w:t>315</w:t>
            </w:r>
          </w:p>
        </w:tc>
      </w:tr>
      <w:tr w:rsidR="005C1A18" w:rsidRPr="00CD65EC" w14:paraId="0450540B" w14:textId="77777777" w:rsidTr="00C5194B">
        <w:trPr>
          <w:trHeight w:val="247"/>
          <w:jc w:val="center"/>
        </w:trPr>
        <w:tc>
          <w:tcPr>
            <w:tcW w:w="1628" w:type="dxa"/>
            <w:tcBorders>
              <w:top w:val="nil"/>
              <w:left w:val="nil"/>
              <w:bottom w:val="nil"/>
              <w:right w:val="nil"/>
            </w:tcBorders>
            <w:shd w:val="clear" w:color="auto" w:fill="auto"/>
            <w:noWrap/>
            <w:vAlign w:val="bottom"/>
          </w:tcPr>
          <w:p w14:paraId="07CC55D8" w14:textId="77777777" w:rsidR="005C1A18" w:rsidRPr="00CD65EC" w:rsidRDefault="005C1A18" w:rsidP="00C5194B">
            <w:pPr>
              <w:jc w:val="center"/>
              <w:rPr>
                <w:sz w:val="20"/>
                <w:szCs w:val="20"/>
              </w:rPr>
            </w:pPr>
            <w:r w:rsidRPr="00CD65EC">
              <w:rPr>
                <w:sz w:val="20"/>
                <w:szCs w:val="20"/>
              </w:rPr>
              <w:t>Outreach</w:t>
            </w:r>
          </w:p>
        </w:tc>
        <w:tc>
          <w:tcPr>
            <w:tcW w:w="1628" w:type="dxa"/>
            <w:tcBorders>
              <w:top w:val="nil"/>
              <w:left w:val="nil"/>
              <w:bottom w:val="nil"/>
              <w:right w:val="nil"/>
            </w:tcBorders>
            <w:shd w:val="clear" w:color="auto" w:fill="auto"/>
            <w:noWrap/>
            <w:vAlign w:val="bottom"/>
          </w:tcPr>
          <w:p w14:paraId="4505F09F" w14:textId="77777777" w:rsidR="005C1A18" w:rsidRPr="00CD65EC" w:rsidRDefault="005C1A18" w:rsidP="00C5194B">
            <w:pPr>
              <w:jc w:val="center"/>
              <w:rPr>
                <w:sz w:val="20"/>
                <w:szCs w:val="20"/>
              </w:rPr>
            </w:pPr>
            <w:r w:rsidRPr="00CD65EC">
              <w:rPr>
                <w:sz w:val="20"/>
                <w:szCs w:val="20"/>
              </w:rPr>
              <w:t>Practicum 495</w:t>
            </w:r>
          </w:p>
        </w:tc>
        <w:tc>
          <w:tcPr>
            <w:tcW w:w="1628" w:type="dxa"/>
            <w:tcBorders>
              <w:top w:val="nil"/>
              <w:left w:val="nil"/>
              <w:bottom w:val="nil"/>
              <w:right w:val="nil"/>
            </w:tcBorders>
            <w:shd w:val="clear" w:color="auto" w:fill="auto"/>
            <w:noWrap/>
            <w:vAlign w:val="bottom"/>
          </w:tcPr>
          <w:p w14:paraId="0FECE399" w14:textId="77777777" w:rsidR="005C1A18" w:rsidRPr="00CD65EC" w:rsidRDefault="005C1A18" w:rsidP="00C5194B">
            <w:pPr>
              <w:jc w:val="center"/>
              <w:rPr>
                <w:sz w:val="20"/>
                <w:szCs w:val="20"/>
              </w:rPr>
            </w:pPr>
            <w:r w:rsidRPr="00CD65EC">
              <w:rPr>
                <w:sz w:val="20"/>
                <w:szCs w:val="20"/>
              </w:rPr>
              <w:t>675</w:t>
            </w:r>
          </w:p>
        </w:tc>
        <w:tc>
          <w:tcPr>
            <w:tcW w:w="1628" w:type="dxa"/>
            <w:tcBorders>
              <w:top w:val="nil"/>
              <w:left w:val="nil"/>
              <w:bottom w:val="nil"/>
              <w:right w:val="nil"/>
            </w:tcBorders>
            <w:shd w:val="clear" w:color="auto" w:fill="auto"/>
            <w:noWrap/>
            <w:vAlign w:val="bottom"/>
          </w:tcPr>
          <w:p w14:paraId="0DE42446" w14:textId="77777777" w:rsidR="005C1A18" w:rsidRPr="00CD65EC" w:rsidRDefault="005C1A18" w:rsidP="00C5194B">
            <w:pPr>
              <w:jc w:val="center"/>
              <w:rPr>
                <w:sz w:val="20"/>
                <w:szCs w:val="20"/>
              </w:rPr>
            </w:pPr>
            <w:r w:rsidRPr="00CD65EC">
              <w:rPr>
                <w:sz w:val="20"/>
                <w:szCs w:val="20"/>
              </w:rPr>
              <w:t>225</w:t>
            </w:r>
          </w:p>
        </w:tc>
      </w:tr>
      <w:tr w:rsidR="005C1A18" w:rsidRPr="00CD65EC" w14:paraId="2CACAAA1" w14:textId="77777777" w:rsidTr="00C5194B">
        <w:trPr>
          <w:trHeight w:val="247"/>
          <w:jc w:val="center"/>
        </w:trPr>
        <w:tc>
          <w:tcPr>
            <w:tcW w:w="1628" w:type="dxa"/>
            <w:tcBorders>
              <w:top w:val="nil"/>
              <w:left w:val="nil"/>
              <w:bottom w:val="nil"/>
              <w:right w:val="nil"/>
            </w:tcBorders>
            <w:shd w:val="clear" w:color="auto" w:fill="auto"/>
            <w:noWrap/>
            <w:vAlign w:val="bottom"/>
          </w:tcPr>
          <w:p w14:paraId="18B4EFD5" w14:textId="77777777" w:rsidR="005C1A18" w:rsidRPr="00CD65EC" w:rsidRDefault="005C1A18" w:rsidP="00C5194B">
            <w:pPr>
              <w:jc w:val="center"/>
              <w:rPr>
                <w:sz w:val="20"/>
                <w:szCs w:val="20"/>
              </w:rPr>
            </w:pPr>
            <w:r w:rsidRPr="00CD65EC">
              <w:rPr>
                <w:sz w:val="20"/>
                <w:szCs w:val="20"/>
              </w:rPr>
              <w:t>Integration</w:t>
            </w:r>
          </w:p>
        </w:tc>
        <w:tc>
          <w:tcPr>
            <w:tcW w:w="1628" w:type="dxa"/>
            <w:tcBorders>
              <w:top w:val="nil"/>
              <w:left w:val="nil"/>
              <w:bottom w:val="nil"/>
              <w:right w:val="nil"/>
            </w:tcBorders>
            <w:shd w:val="clear" w:color="auto" w:fill="auto"/>
            <w:noWrap/>
            <w:vAlign w:val="bottom"/>
          </w:tcPr>
          <w:p w14:paraId="70617CF1" w14:textId="77777777" w:rsidR="005C1A18" w:rsidRPr="00CD65EC" w:rsidRDefault="005C1A18" w:rsidP="00C5194B">
            <w:pPr>
              <w:jc w:val="center"/>
              <w:rPr>
                <w:sz w:val="20"/>
                <w:szCs w:val="20"/>
              </w:rPr>
            </w:pPr>
            <w:r>
              <w:rPr>
                <w:sz w:val="20"/>
                <w:szCs w:val="20"/>
              </w:rPr>
              <w:t>Senior Thesis</w:t>
            </w:r>
          </w:p>
        </w:tc>
        <w:tc>
          <w:tcPr>
            <w:tcW w:w="1628" w:type="dxa"/>
            <w:tcBorders>
              <w:top w:val="nil"/>
              <w:left w:val="nil"/>
              <w:bottom w:val="nil"/>
              <w:right w:val="nil"/>
            </w:tcBorders>
            <w:shd w:val="clear" w:color="auto" w:fill="auto"/>
            <w:noWrap/>
            <w:vAlign w:val="bottom"/>
          </w:tcPr>
          <w:p w14:paraId="67031D17" w14:textId="77777777" w:rsidR="005C1A18" w:rsidRPr="00CD65EC" w:rsidRDefault="005C1A18" w:rsidP="00C5194B">
            <w:pPr>
              <w:jc w:val="center"/>
              <w:rPr>
                <w:sz w:val="20"/>
                <w:szCs w:val="20"/>
              </w:rPr>
            </w:pPr>
            <w:r w:rsidRPr="00CD65EC">
              <w:rPr>
                <w:sz w:val="20"/>
                <w:szCs w:val="20"/>
              </w:rPr>
              <w:t>845</w:t>
            </w:r>
          </w:p>
        </w:tc>
        <w:tc>
          <w:tcPr>
            <w:tcW w:w="1628" w:type="dxa"/>
            <w:tcBorders>
              <w:top w:val="nil"/>
              <w:left w:val="nil"/>
              <w:bottom w:val="nil"/>
              <w:right w:val="nil"/>
            </w:tcBorders>
            <w:shd w:val="clear" w:color="auto" w:fill="auto"/>
            <w:noWrap/>
            <w:vAlign w:val="bottom"/>
          </w:tcPr>
          <w:p w14:paraId="7D7FD8CA" w14:textId="77777777" w:rsidR="005C1A18" w:rsidRPr="00CD65EC" w:rsidRDefault="005C1A18" w:rsidP="00C5194B">
            <w:pPr>
              <w:jc w:val="center"/>
              <w:rPr>
                <w:sz w:val="20"/>
                <w:szCs w:val="20"/>
              </w:rPr>
            </w:pPr>
            <w:r w:rsidRPr="00CD65EC">
              <w:rPr>
                <w:sz w:val="20"/>
                <w:szCs w:val="20"/>
              </w:rPr>
              <w:t>282</w:t>
            </w:r>
          </w:p>
        </w:tc>
      </w:tr>
    </w:tbl>
    <w:p w14:paraId="771AB608" w14:textId="77777777" w:rsidR="005C1A18" w:rsidRPr="00CD65EC" w:rsidRDefault="005C1A18" w:rsidP="005C1A18">
      <w:pPr>
        <w:ind w:left="360"/>
      </w:pPr>
    </w:p>
    <w:p w14:paraId="56C63F0D" w14:textId="77777777" w:rsidR="005C1A18" w:rsidRPr="000F797C" w:rsidRDefault="005C1A18" w:rsidP="000F797C">
      <w:pPr>
        <w:pStyle w:val="ListParagraph"/>
        <w:numPr>
          <w:ilvl w:val="0"/>
          <w:numId w:val="33"/>
        </w:numPr>
        <w:rPr>
          <w:b/>
        </w:rPr>
      </w:pPr>
      <w:r w:rsidRPr="000F797C">
        <w:rPr>
          <w:b/>
        </w:rPr>
        <w:t>Student participation in research</w:t>
      </w:r>
      <w:r w:rsidRPr="00CD65EC">
        <w:t xml:space="preserve"> is an important part of MSU’s newly adopted strategic plan. Student research </w:t>
      </w:r>
      <w:r>
        <w:t>discovers</w:t>
      </w:r>
      <w:r w:rsidRPr="00CD65EC">
        <w:t xml:space="preserve"> and disseminates new knowledge, prepares students for employment, buil</w:t>
      </w:r>
      <w:r>
        <w:t>ds skills that students can use</w:t>
      </w:r>
      <w:r w:rsidRPr="00CD65EC">
        <w:t xml:space="preserve"> in a variety of settings, and helps students learn to work in teams as well as independently (see Table 1 above</w:t>
      </w:r>
      <w:r>
        <w:t xml:space="preserve"> for Research credits in Psyx 490R</w:t>
      </w:r>
      <w:r w:rsidRPr="00CD65EC">
        <w:t xml:space="preserve">). </w:t>
      </w:r>
    </w:p>
    <w:p w14:paraId="0E6DB02A" w14:textId="77777777" w:rsidR="005C1A18" w:rsidRPr="00C5194B" w:rsidRDefault="005C1A18" w:rsidP="00C5194B">
      <w:pPr>
        <w:pStyle w:val="ListParagraph"/>
        <w:numPr>
          <w:ilvl w:val="0"/>
          <w:numId w:val="31"/>
        </w:numPr>
        <w:rPr>
          <w:b/>
        </w:rPr>
      </w:pPr>
      <w:r w:rsidRPr="00107B42">
        <w:rPr>
          <w:b/>
          <w:i/>
        </w:rPr>
        <w:t>Productivity of our students</w:t>
      </w:r>
      <w:r w:rsidRPr="00573A43">
        <w:t xml:space="preserve">. In the last 5 years our undergraduates co-authored 61 presentations at conferences (including coauthorship at professional conferences as well as presentations at undergraduate research conferences on campus and elsewhere), and our undergraduates have also published 6 papers.  </w:t>
      </w:r>
    </w:p>
    <w:p w14:paraId="59651A97" w14:textId="208E7365" w:rsidR="00C5194B" w:rsidRPr="00C22C34" w:rsidRDefault="00C22C34" w:rsidP="00C22C34">
      <w:pPr>
        <w:pStyle w:val="ListParagraph"/>
        <w:numPr>
          <w:ilvl w:val="0"/>
          <w:numId w:val="31"/>
        </w:numPr>
        <w:rPr>
          <w:b/>
        </w:rPr>
      </w:pPr>
      <w:r>
        <w:rPr>
          <w:b/>
        </w:rPr>
        <w:t xml:space="preserve"> </w:t>
      </w:r>
      <w:r w:rsidR="00C5194B" w:rsidRPr="00C22C34">
        <w:rPr>
          <w:b/>
        </w:rPr>
        <w:t>Student research funding:</w:t>
      </w:r>
      <w:r w:rsidR="00C5194B" w:rsidRPr="00CD65EC">
        <w:t xml:space="preserve"> McNair, AIRO, </w:t>
      </w:r>
      <w:r w:rsidR="00C5194B">
        <w:t>USP, and INBRE. Over the last 5 years</w:t>
      </w:r>
      <w:r w:rsidR="00C5194B" w:rsidRPr="00CD65EC">
        <w:t xml:space="preserve"> Psychology majors have won </w:t>
      </w:r>
      <w:r w:rsidR="00C5194B">
        <w:t>16</w:t>
      </w:r>
      <w:r w:rsidR="00C5194B" w:rsidRPr="00A76F4B">
        <w:t xml:space="preserve"> University Scholars Program awards, 3</w:t>
      </w:r>
      <w:r w:rsidR="00C5194B">
        <w:t xml:space="preserve"> McNair scholar awards, 2 INBRE awards, and</w:t>
      </w:r>
      <w:r w:rsidR="00C5194B" w:rsidRPr="00A76F4B">
        <w:t xml:space="preserve"> 4 students in the AIRO </w:t>
      </w:r>
      <w:r w:rsidR="00C5194B">
        <w:t xml:space="preserve">(American Indian Research Opportunities) </w:t>
      </w:r>
      <w:r w:rsidR="00C5194B" w:rsidRPr="00A76F4B">
        <w:t>program</w:t>
      </w:r>
      <w:r w:rsidR="00C5194B" w:rsidRPr="00CD65EC">
        <w:t xml:space="preserve"> have participated in research with a Psychology faculty member</w:t>
      </w:r>
      <w:r w:rsidR="00C5194B">
        <w:t>.</w:t>
      </w:r>
    </w:p>
    <w:p w14:paraId="0728619C" w14:textId="2CE3AC0B" w:rsidR="005C1A18" w:rsidRDefault="005C1A18" w:rsidP="005C1A18">
      <w:pPr>
        <w:ind w:left="2160" w:firstLine="720"/>
        <w:rPr>
          <w:b/>
        </w:rPr>
      </w:pPr>
    </w:p>
    <w:p w14:paraId="688BCB70" w14:textId="77777777" w:rsidR="005C1A18" w:rsidRDefault="005C1A18" w:rsidP="001F7ED9">
      <w:pPr>
        <w:rPr>
          <w:b/>
        </w:rPr>
      </w:pPr>
    </w:p>
    <w:p w14:paraId="560868DE" w14:textId="77777777" w:rsidR="005C1A18" w:rsidRDefault="005C1A18" w:rsidP="001F7ED9">
      <w:pPr>
        <w:rPr>
          <w:b/>
        </w:rPr>
      </w:pPr>
    </w:p>
    <w:p w14:paraId="72DCDC49" w14:textId="77777777" w:rsidR="008348EA" w:rsidRDefault="008348EA" w:rsidP="001F7ED9">
      <w:pPr>
        <w:rPr>
          <w:b/>
        </w:rPr>
      </w:pPr>
    </w:p>
    <w:p w14:paraId="1DFBC798" w14:textId="3126CB24" w:rsidR="006655A4" w:rsidRDefault="006655A4">
      <w:pPr>
        <w:rPr>
          <w:b/>
        </w:rPr>
      </w:pPr>
      <w:r>
        <w:rPr>
          <w:b/>
        </w:rPr>
        <w:br w:type="page"/>
      </w:r>
    </w:p>
    <w:p w14:paraId="384BFA3F" w14:textId="77777777" w:rsidR="008348EA" w:rsidRDefault="008348EA" w:rsidP="001F7ED9">
      <w:pPr>
        <w:rPr>
          <w:b/>
        </w:rPr>
      </w:pPr>
    </w:p>
    <w:p w14:paraId="5F24DB6C" w14:textId="77777777" w:rsidR="008348EA" w:rsidRDefault="008348EA" w:rsidP="001F7ED9">
      <w:pPr>
        <w:rPr>
          <w:b/>
        </w:rPr>
      </w:pPr>
    </w:p>
    <w:p w14:paraId="3E93B91D" w14:textId="20518979" w:rsidR="00A12028" w:rsidRDefault="00D52D1A" w:rsidP="001F7ED9">
      <w:pPr>
        <w:rPr>
          <w:b/>
        </w:rPr>
      </w:pPr>
      <w:r>
        <w:rPr>
          <w:b/>
        </w:rPr>
        <w:t>Section 2: Graduate Program Assessment</w:t>
      </w:r>
    </w:p>
    <w:p w14:paraId="560887E0" w14:textId="77777777" w:rsidR="00D52D1A" w:rsidRDefault="00D52D1A" w:rsidP="001F7ED9">
      <w:pPr>
        <w:rPr>
          <w:b/>
        </w:rPr>
      </w:pPr>
    </w:p>
    <w:p w14:paraId="53C1FE4B" w14:textId="77777777" w:rsidR="00587E4F" w:rsidRPr="00CD65EC" w:rsidRDefault="00587E4F" w:rsidP="00587E4F">
      <w:pPr>
        <w:pStyle w:val="ListParagraph"/>
        <w:numPr>
          <w:ilvl w:val="0"/>
          <w:numId w:val="25"/>
        </w:numPr>
        <w:rPr>
          <w:b/>
        </w:rPr>
      </w:pPr>
      <w:r w:rsidRPr="00CD65EC">
        <w:rPr>
          <w:b/>
        </w:rPr>
        <w:t xml:space="preserve">Graduate program: M.S. in Psychological Science  </w:t>
      </w:r>
    </w:p>
    <w:p w14:paraId="544564E0" w14:textId="77777777" w:rsidR="00587E4F" w:rsidRPr="00CD65EC" w:rsidRDefault="00587E4F" w:rsidP="00587E4F">
      <w:pPr>
        <w:ind w:left="720" w:hanging="720"/>
        <w:rPr>
          <w:b/>
        </w:rPr>
      </w:pPr>
      <w:r w:rsidRPr="00CD65EC">
        <w:rPr>
          <w:b/>
        </w:rPr>
        <w:tab/>
      </w:r>
      <w:r w:rsidRPr="00CD65EC">
        <w:rPr>
          <w:b/>
        </w:rPr>
        <w:tab/>
      </w:r>
    </w:p>
    <w:p w14:paraId="053BD938" w14:textId="77777777" w:rsidR="00587E4F" w:rsidRPr="00CD65EC" w:rsidRDefault="00587E4F" w:rsidP="00587E4F">
      <w:pPr>
        <w:ind w:left="720" w:hanging="720"/>
      </w:pPr>
      <w:r w:rsidRPr="00CD65EC">
        <w:rPr>
          <w:b/>
        </w:rPr>
        <w:tab/>
        <w:t xml:space="preserve">Overall context. </w:t>
      </w:r>
      <w:r w:rsidRPr="00CD65EC">
        <w:t>The content, structure and nature of the graduate program were adjusted during the 1</w:t>
      </w:r>
      <w:r>
        <w:t>0-</w:t>
      </w:r>
      <w:r w:rsidRPr="00CD65EC">
        <w:t>year period of the KPI data. From 2002 to 2006 the Department offered a masters in Applied Psychology with emphasis on industrial/organizational psychology. With the departure of four faculty members and with the hire of new faculty, the department organized the masters program as a research-intensive program in Psychological Science</w:t>
      </w:r>
      <w:r>
        <w:t xml:space="preserve"> that has been very successful</w:t>
      </w:r>
      <w:r w:rsidRPr="00CD65EC">
        <w:t xml:space="preserve">.  </w:t>
      </w:r>
    </w:p>
    <w:p w14:paraId="6408E5C6" w14:textId="77777777" w:rsidR="00587E4F" w:rsidRDefault="00587E4F" w:rsidP="00587E4F">
      <w:pPr>
        <w:ind w:left="720" w:hanging="720"/>
      </w:pPr>
      <w:r w:rsidRPr="00CD65EC">
        <w:rPr>
          <w:b/>
        </w:rPr>
        <w:tab/>
      </w:r>
      <w:r w:rsidRPr="00CD65EC">
        <w:rPr>
          <w:b/>
        </w:rPr>
        <w:tab/>
      </w:r>
      <w:r w:rsidRPr="00CD65EC">
        <w:rPr>
          <w:color w:val="000000" w:themeColor="text1"/>
        </w:rPr>
        <w:t xml:space="preserve">Our M.S. research program in Psychological Science prepares students for admission into a doctoral program or for employment in applied settings.  Our students receive individualized mentoring from faculty and participate in advanced coursework, individual research projects culminating in the masters thesis, and research colloquia.  In anonymous graduate student surveys, students describe our greatest strengths as our strong faculty, opportunity for one-on-one training, strong research focus, and opportunities to present research at conferences. The latest assessment report on the Graduate Program is attached in Appendix D. </w:t>
      </w:r>
      <w:r w:rsidRPr="00CD65EC">
        <w:t xml:space="preserve">Here we give a summary. </w:t>
      </w:r>
    </w:p>
    <w:p w14:paraId="4463D21E" w14:textId="77777777" w:rsidR="00587E4F" w:rsidRPr="00502425" w:rsidRDefault="00587E4F" w:rsidP="00587E4F">
      <w:pPr>
        <w:ind w:left="720" w:hanging="720"/>
        <w:rPr>
          <w:b/>
        </w:rPr>
      </w:pPr>
    </w:p>
    <w:p w14:paraId="4480A609" w14:textId="77777777" w:rsidR="00587E4F" w:rsidRPr="00CD65EC" w:rsidRDefault="00587E4F" w:rsidP="00587E4F">
      <w:pPr>
        <w:pStyle w:val="ListParagraph"/>
        <w:numPr>
          <w:ilvl w:val="1"/>
          <w:numId w:val="25"/>
        </w:numPr>
        <w:rPr>
          <w:color w:val="000000" w:themeColor="text1"/>
        </w:rPr>
      </w:pPr>
      <w:r w:rsidRPr="00502425">
        <w:rPr>
          <w:b/>
        </w:rPr>
        <w:t>Graduate enrollment and degree data.</w:t>
      </w:r>
      <w:r w:rsidRPr="00CD65EC">
        <w:rPr>
          <w:b/>
        </w:rPr>
        <w:t xml:space="preserve"> </w:t>
      </w:r>
      <w:r w:rsidRPr="00CD65EC">
        <w:rPr>
          <w:color w:val="000000" w:themeColor="text1"/>
        </w:rPr>
        <w:t xml:space="preserve">We have enrolled between 9 and 13 students each year, and have graduated between 2 and 9 students each year since 2003 (average number of graduates = 5.0 per year).  </w:t>
      </w:r>
    </w:p>
    <w:p w14:paraId="166E78A5" w14:textId="77777777" w:rsidR="00587E4F" w:rsidRPr="00CD65EC" w:rsidRDefault="00587E4F" w:rsidP="00587E4F">
      <w:pPr>
        <w:ind w:left="1440"/>
        <w:rPr>
          <w:color w:val="000000" w:themeColor="text1"/>
        </w:rPr>
      </w:pPr>
      <w:r>
        <w:rPr>
          <w:color w:val="000000" w:themeColor="text1"/>
        </w:rPr>
        <w:tab/>
      </w:r>
      <w:r w:rsidRPr="00CD65EC">
        <w:rPr>
          <w:color w:val="000000" w:themeColor="text1"/>
        </w:rPr>
        <w:t>Retention and graduation rates are outstanding. For incoming classes that enrolled from 2003 – 2010, 81% (43 out of 53) graduated with their M.S. degrees within two years, 6% (3 out of 53) graduated during the following summer, and 13% (7 out of 53) left our program.  Two of the 7 that left our program did so becaus</w:t>
      </w:r>
      <w:r>
        <w:rPr>
          <w:color w:val="000000" w:themeColor="text1"/>
        </w:rPr>
        <w:t>e they were accepted early into</w:t>
      </w:r>
      <w:r w:rsidRPr="00CD65EC">
        <w:rPr>
          <w:color w:val="000000" w:themeColor="text1"/>
        </w:rPr>
        <w:t>doctoral programs (see Figure 7).</w:t>
      </w:r>
    </w:p>
    <w:p w14:paraId="27170F76" w14:textId="77777777" w:rsidR="00587E4F" w:rsidRPr="00CD65EC" w:rsidRDefault="00587E4F" w:rsidP="00587E4F">
      <w:pPr>
        <w:jc w:val="center"/>
        <w:rPr>
          <w:color w:val="000000" w:themeColor="text1"/>
        </w:rPr>
      </w:pPr>
      <w:r w:rsidRPr="00CD65EC">
        <w:rPr>
          <w:noProof/>
          <w:color w:val="000000" w:themeColor="text1"/>
        </w:rPr>
        <w:drawing>
          <wp:inline distT="0" distB="0" distL="0" distR="0" wp14:anchorId="28DEA64A" wp14:editId="009E3FED">
            <wp:extent cx="4524375" cy="2914650"/>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B8DA37" w14:textId="77777777" w:rsidR="00587E4F" w:rsidRPr="00CD65EC" w:rsidRDefault="00587E4F" w:rsidP="00587E4F">
      <w:pPr>
        <w:autoSpaceDE w:val="0"/>
        <w:autoSpaceDN w:val="0"/>
        <w:adjustRightInd w:val="0"/>
        <w:jc w:val="center"/>
        <w:rPr>
          <w:color w:val="000000"/>
        </w:rPr>
      </w:pPr>
      <w:r w:rsidRPr="00CD65EC">
        <w:rPr>
          <w:i/>
          <w:color w:val="000000"/>
        </w:rPr>
        <w:t>Figure 7.</w:t>
      </w:r>
      <w:r w:rsidRPr="00CD65EC">
        <w:rPr>
          <w:color w:val="000000"/>
        </w:rPr>
        <w:t xml:space="preserve"> Graduation Status of Psychology students enrolling in M.S. program since 2003.</w:t>
      </w:r>
    </w:p>
    <w:p w14:paraId="60983A3C" w14:textId="77777777" w:rsidR="00587E4F" w:rsidRPr="00CD65EC" w:rsidRDefault="00587E4F" w:rsidP="00587E4F">
      <w:pPr>
        <w:rPr>
          <w:color w:val="000000" w:themeColor="text1"/>
        </w:rPr>
      </w:pPr>
    </w:p>
    <w:p w14:paraId="4AFEE9DC" w14:textId="77777777" w:rsidR="00587E4F" w:rsidRPr="00CD65EC" w:rsidRDefault="00587E4F" w:rsidP="00587E4F">
      <w:pPr>
        <w:pStyle w:val="ListParagraph"/>
        <w:numPr>
          <w:ilvl w:val="1"/>
          <w:numId w:val="25"/>
        </w:numPr>
        <w:rPr>
          <w:b/>
          <w:color w:val="000000" w:themeColor="text1"/>
        </w:rPr>
      </w:pPr>
      <w:r w:rsidRPr="00CD65EC">
        <w:rPr>
          <w:b/>
          <w:color w:val="000000" w:themeColor="text1"/>
        </w:rPr>
        <w:br w:type="page"/>
        <w:t>Graduate program assessment</w:t>
      </w:r>
    </w:p>
    <w:p w14:paraId="305E8380" w14:textId="77777777" w:rsidR="00587E4F" w:rsidRPr="00CD65EC" w:rsidRDefault="00587E4F" w:rsidP="00587E4F">
      <w:pPr>
        <w:pStyle w:val="ListParagraph"/>
        <w:numPr>
          <w:ilvl w:val="2"/>
          <w:numId w:val="25"/>
        </w:numPr>
        <w:rPr>
          <w:b/>
          <w:color w:val="000000" w:themeColor="text1"/>
        </w:rPr>
      </w:pPr>
      <w:r w:rsidRPr="00CD65EC">
        <w:rPr>
          <w:b/>
          <w:color w:val="000000" w:themeColor="text1"/>
        </w:rPr>
        <w:t xml:space="preserve">Structure of M.S. in Psychological Science  </w:t>
      </w:r>
    </w:p>
    <w:p w14:paraId="34E79287" w14:textId="77777777" w:rsidR="00587E4F" w:rsidRPr="00CD65EC" w:rsidRDefault="00587E4F" w:rsidP="00587E4F">
      <w:pPr>
        <w:ind w:left="1080"/>
      </w:pPr>
      <w:r w:rsidRPr="00CD65EC">
        <w:t>Students enrolled in the graduate program must fulfill coursework, master’s thesis, GTA assignments, and departmental colloquia (see Appendix D for requirement details).</w:t>
      </w:r>
    </w:p>
    <w:p w14:paraId="32ED1465" w14:textId="77777777" w:rsidR="00587E4F" w:rsidRPr="00CD65EC" w:rsidRDefault="00587E4F" w:rsidP="00587E4F">
      <w:pPr>
        <w:pStyle w:val="ListParagraph"/>
        <w:numPr>
          <w:ilvl w:val="3"/>
          <w:numId w:val="25"/>
        </w:numPr>
      </w:pPr>
      <w:r w:rsidRPr="00CD65EC">
        <w:rPr>
          <w:b/>
          <w:color w:val="000000" w:themeColor="text1"/>
        </w:rPr>
        <w:t xml:space="preserve">Coursework. </w:t>
      </w:r>
      <w:r w:rsidRPr="00CD65EC">
        <w:t xml:space="preserve">The Master of Science program requires a minimum of 31 credit hours of graduate level coursework. Our students currently register for 2 courses (6 credits) in each of their first three semesters and 1 course during their fourth semester (3 credits). The required coursework is designed to provide students with an overview of specific content areas, as well as with research methods and statistics in psychology. Each student must take at least seven of the following courses (21 credits) and maintain a 3.0 GPA. Examples of courses we typically offer are listed below. Courses are offered on a 2-year rotation except for Psyx 501 and 502 which are offered annually. </w:t>
      </w:r>
    </w:p>
    <w:p w14:paraId="4C3427E1" w14:textId="77777777" w:rsidR="00587E4F" w:rsidRPr="00CD65EC" w:rsidRDefault="00587E4F" w:rsidP="00587E4F">
      <w:pPr>
        <w:pStyle w:val="ListParagraph"/>
        <w:widowControl w:val="0"/>
        <w:numPr>
          <w:ilvl w:val="0"/>
          <w:numId w:val="35"/>
        </w:numPr>
      </w:pPr>
      <w:r w:rsidRPr="00CD65EC">
        <w:t>PSYX 501 (Advanced Research Design &amp; Analysis</w:t>
      </w:r>
    </w:p>
    <w:p w14:paraId="07EABDA1" w14:textId="77777777" w:rsidR="00587E4F" w:rsidRPr="00CD65EC" w:rsidRDefault="00587E4F" w:rsidP="00587E4F">
      <w:pPr>
        <w:pStyle w:val="ListParagraph"/>
        <w:widowControl w:val="0"/>
        <w:numPr>
          <w:ilvl w:val="0"/>
          <w:numId w:val="35"/>
        </w:numPr>
      </w:pPr>
      <w:r w:rsidRPr="00CD65EC">
        <w:t xml:space="preserve">PSYX 502  (Advanced Statistical Analysis) </w:t>
      </w:r>
    </w:p>
    <w:p w14:paraId="537989A0" w14:textId="77777777" w:rsidR="00587E4F" w:rsidRPr="00CD65EC" w:rsidRDefault="00587E4F" w:rsidP="00587E4F">
      <w:pPr>
        <w:pStyle w:val="ListParagraph"/>
        <w:widowControl w:val="0"/>
        <w:numPr>
          <w:ilvl w:val="0"/>
          <w:numId w:val="35"/>
        </w:numPr>
      </w:pPr>
      <w:r w:rsidRPr="00CD65EC">
        <w:t xml:space="preserve">PSYX 539  (Physiological Processes) </w:t>
      </w:r>
    </w:p>
    <w:p w14:paraId="78A1AB8B" w14:textId="77777777" w:rsidR="00587E4F" w:rsidRPr="00CD65EC" w:rsidRDefault="00587E4F" w:rsidP="00587E4F">
      <w:pPr>
        <w:pStyle w:val="ListParagraph"/>
        <w:widowControl w:val="0"/>
        <w:numPr>
          <w:ilvl w:val="0"/>
          <w:numId w:val="35"/>
        </w:numPr>
      </w:pPr>
      <w:r w:rsidRPr="00CD65EC">
        <w:t>PSYX 541  (Cognitive Processes)</w:t>
      </w:r>
    </w:p>
    <w:p w14:paraId="6D3EED54" w14:textId="77777777" w:rsidR="00587E4F" w:rsidRPr="00CD65EC" w:rsidRDefault="00587E4F" w:rsidP="00587E4F">
      <w:pPr>
        <w:pStyle w:val="ListParagraph"/>
        <w:widowControl w:val="0"/>
        <w:numPr>
          <w:ilvl w:val="0"/>
          <w:numId w:val="35"/>
        </w:numPr>
      </w:pPr>
      <w:r w:rsidRPr="00CD65EC">
        <w:t>PSYX 542  (Learning)</w:t>
      </w:r>
    </w:p>
    <w:p w14:paraId="222396D8" w14:textId="77777777" w:rsidR="00587E4F" w:rsidRPr="00CD65EC" w:rsidRDefault="00587E4F" w:rsidP="00587E4F">
      <w:pPr>
        <w:pStyle w:val="ListParagraph"/>
        <w:widowControl w:val="0"/>
        <w:numPr>
          <w:ilvl w:val="0"/>
          <w:numId w:val="35"/>
        </w:numPr>
      </w:pPr>
      <w:r w:rsidRPr="00CD65EC">
        <w:t>PSYX</w:t>
      </w:r>
      <w:r w:rsidRPr="00CD65EC">
        <w:rPr>
          <w:lang w:val="fr-FR"/>
        </w:rPr>
        <w:t xml:space="preserve"> 543  (Memory)</w:t>
      </w:r>
      <w:r w:rsidRPr="00CD65EC">
        <w:tab/>
      </w:r>
      <w:r w:rsidRPr="00CD65EC">
        <w:tab/>
      </w:r>
      <w:r w:rsidRPr="00CD65EC">
        <w:tab/>
      </w:r>
    </w:p>
    <w:p w14:paraId="4A5EA287" w14:textId="77777777" w:rsidR="00587E4F" w:rsidRPr="00CD65EC" w:rsidRDefault="00587E4F" w:rsidP="00587E4F">
      <w:pPr>
        <w:pStyle w:val="ListParagraph"/>
        <w:widowControl w:val="0"/>
        <w:numPr>
          <w:ilvl w:val="0"/>
          <w:numId w:val="35"/>
        </w:numPr>
        <w:rPr>
          <w:lang w:val="fr-FR"/>
        </w:rPr>
      </w:pPr>
      <w:r w:rsidRPr="00CD65EC">
        <w:t>PSYX</w:t>
      </w:r>
      <w:r w:rsidRPr="00CD65EC">
        <w:rPr>
          <w:lang w:val="fr-FR"/>
        </w:rPr>
        <w:t xml:space="preserve"> 544  (Social Psychology)</w:t>
      </w:r>
    </w:p>
    <w:p w14:paraId="2B8DE884" w14:textId="77777777" w:rsidR="00587E4F" w:rsidRPr="00CD65EC" w:rsidRDefault="00587E4F" w:rsidP="00587E4F">
      <w:pPr>
        <w:pStyle w:val="ListParagraph"/>
        <w:numPr>
          <w:ilvl w:val="0"/>
          <w:numId w:val="35"/>
        </w:numPr>
        <w:rPr>
          <w:b/>
          <w:color w:val="000000" w:themeColor="text1"/>
        </w:rPr>
      </w:pPr>
      <w:r w:rsidRPr="00CD65EC">
        <w:t>PSYX</w:t>
      </w:r>
      <w:r w:rsidRPr="00CD65EC">
        <w:rPr>
          <w:lang w:val="fr-FR"/>
        </w:rPr>
        <w:t xml:space="preserve"> 546  (Social Cognition)</w:t>
      </w:r>
    </w:p>
    <w:p w14:paraId="7E1DD0C3" w14:textId="77777777" w:rsidR="00587E4F" w:rsidRPr="00CD65EC" w:rsidRDefault="00587E4F" w:rsidP="00587E4F">
      <w:pPr>
        <w:ind w:left="2880"/>
      </w:pPr>
      <w:r w:rsidRPr="00CD65EC">
        <w:t xml:space="preserve">Students are now required to take PSYX 501 and PSYX 502 during the first year of the program.  This has been a longstanding department goal that we have enacted during 2012-13. Students report increased statistical competence and confidence resulting from the second statistical methods and design course.  </w:t>
      </w:r>
    </w:p>
    <w:p w14:paraId="58DECD9D" w14:textId="77777777" w:rsidR="00587E4F" w:rsidRPr="00CD65EC" w:rsidRDefault="00587E4F" w:rsidP="00587E4F">
      <w:pPr>
        <w:ind w:left="2880"/>
      </w:pPr>
      <w:r w:rsidRPr="00CD65EC">
        <w:tab/>
        <w:t xml:space="preserve">Students may substitute one graduate level class (outside of the department) related to their psychology research for one of the above classes, with approval of their advisor and the department Graduate Coordinator. Students may also choose from advanced undergraduate psychology classes that are co-convened (i.e., cross listed as both a graduate and undergraduate class). Recent topics offered in this way include “Food, Motivation and Eating”, “Psycholinguistics”, “Psychology of Time”. </w:t>
      </w:r>
    </w:p>
    <w:p w14:paraId="7682D4C7" w14:textId="77777777" w:rsidR="00587E4F" w:rsidRPr="00CD65EC" w:rsidRDefault="00587E4F" w:rsidP="00587E4F">
      <w:pPr>
        <w:pStyle w:val="ListParagraph"/>
        <w:numPr>
          <w:ilvl w:val="3"/>
          <w:numId w:val="25"/>
        </w:numPr>
        <w:rPr>
          <w:b/>
        </w:rPr>
      </w:pPr>
      <w:r w:rsidRPr="00CD65EC">
        <w:rPr>
          <w:b/>
        </w:rPr>
        <w:t xml:space="preserve">Masters Thesis.   </w:t>
      </w:r>
      <w:r w:rsidRPr="00CD65EC">
        <w:t xml:space="preserve">Each student must register for 10 thesis credits during their second year.  Currently, our students register for 3 thesis credits in the fall and 7 in the spring. The schedule of deadlines for the thesis is relatively strict and is incorporated in Appendix D. </w:t>
      </w:r>
    </w:p>
    <w:p w14:paraId="1429C0D8" w14:textId="77777777" w:rsidR="00587E4F" w:rsidRPr="00CD65EC" w:rsidRDefault="00587E4F" w:rsidP="00587E4F">
      <w:pPr>
        <w:ind w:left="2880"/>
      </w:pPr>
      <w:r w:rsidRPr="00CD65EC">
        <w:tab/>
        <w:t xml:space="preserve">A master’s thesis is an empirical study (e.g., involving collection of original data by the student, in either a lab experiment or a field study), the purpose of which is for students to learn and to demonstrate their ability to carry out a scientific investigation in all aspects from data collection to final write-up. The thesis project is designed to facilitate a number of skills that are beneficial in either applied or academic settings: Familiarity with a scientific literature, critical thinking skills that help to identify weaknesses in the literature, formulation of hypotheses, formulation of appropriate methodology to answer research questions, collecting and analyzing data, critical and thoughtful interpretation of results/implications for literature, and effective written and oral communication skills. </w:t>
      </w:r>
    </w:p>
    <w:p w14:paraId="20D7DD56" w14:textId="77777777" w:rsidR="00587E4F" w:rsidRPr="00CD65EC" w:rsidRDefault="00587E4F" w:rsidP="00587E4F">
      <w:pPr>
        <w:pStyle w:val="ListParagraph"/>
        <w:numPr>
          <w:ilvl w:val="3"/>
          <w:numId w:val="25"/>
        </w:numPr>
        <w:rPr>
          <w:b/>
        </w:rPr>
      </w:pPr>
      <w:r>
        <w:rPr>
          <w:b/>
        </w:rPr>
        <w:t>Every Semester</w:t>
      </w:r>
      <w:r w:rsidRPr="00CD65EC">
        <w:rPr>
          <w:b/>
        </w:rPr>
        <w:t xml:space="preserve"> Evaluation of Graduate student progress</w:t>
      </w:r>
      <w:r>
        <w:rPr>
          <w:b/>
        </w:rPr>
        <w:t>.</w:t>
      </w:r>
      <w:r w:rsidRPr="00CD65EC">
        <w:rPr>
          <w:b/>
        </w:rPr>
        <w:t xml:space="preserve"> </w:t>
      </w:r>
      <w:r>
        <w:rPr>
          <w:color w:val="000000" w:themeColor="text1"/>
        </w:rPr>
        <w:t>Evaluation of</w:t>
      </w:r>
      <w:r w:rsidRPr="00CD65EC">
        <w:rPr>
          <w:color w:val="000000" w:themeColor="text1"/>
        </w:rPr>
        <w:t xml:space="preserve"> coursework, research, GTA performance, progress toward degree, and citizenship are used as a major criterion for making decisions about subsequent graduate assistantship funding.  Failure to make satisfactory progress, as determined by the psychology faculty and the Division of Graduate Education, may result in the loss of financial assistance or even suspension from the program.  Each semester, students submit a personal statement, vita/resume, and any available teaching evaluations to their advisor three weeks prior to the end of the semester, or per the deadline set by the Graduate Coordinator. </w:t>
      </w:r>
    </w:p>
    <w:p w14:paraId="1452EEEE" w14:textId="77777777" w:rsidR="00587E4F" w:rsidRPr="00CD65EC" w:rsidRDefault="00587E4F" w:rsidP="00587E4F">
      <w:pPr>
        <w:pStyle w:val="ListParagraph"/>
        <w:numPr>
          <w:ilvl w:val="2"/>
          <w:numId w:val="25"/>
        </w:numPr>
        <w:rPr>
          <w:b/>
        </w:rPr>
      </w:pPr>
      <w:r w:rsidRPr="00CD65EC">
        <w:rPr>
          <w:b/>
        </w:rPr>
        <w:br w:type="page"/>
        <w:t xml:space="preserve">Evidence of instructional quality – Graduate program  </w:t>
      </w:r>
    </w:p>
    <w:p w14:paraId="4CA4ED43" w14:textId="77777777" w:rsidR="00587E4F" w:rsidRPr="00CD65EC" w:rsidRDefault="00587E4F" w:rsidP="00587E4F">
      <w:pPr>
        <w:ind w:left="1980"/>
        <w:rPr>
          <w:b/>
        </w:rPr>
      </w:pPr>
      <w:r w:rsidRPr="00CD65EC">
        <w:t xml:space="preserve">In addition to looking at retention and degrees granted (reported above) we have tracked success of our students in entering doctoral programs, their reported satisfaction on student surveys, and graduate student research productivity.  </w:t>
      </w:r>
    </w:p>
    <w:p w14:paraId="6E2F0425" w14:textId="77777777" w:rsidR="00587E4F" w:rsidRDefault="00587E4F" w:rsidP="00587E4F">
      <w:pPr>
        <w:pStyle w:val="ListParagraph"/>
        <w:numPr>
          <w:ilvl w:val="3"/>
          <w:numId w:val="25"/>
        </w:numPr>
        <w:rPr>
          <w:color w:val="000000" w:themeColor="text1"/>
        </w:rPr>
      </w:pPr>
      <w:r w:rsidRPr="00CD65EC">
        <w:rPr>
          <w:b/>
          <w:color w:val="000000" w:themeColor="text1"/>
        </w:rPr>
        <w:t>Doctoral program preparation and careers.</w:t>
      </w:r>
      <w:r w:rsidRPr="00CD65EC">
        <w:rPr>
          <w:color w:val="000000" w:themeColor="text1"/>
        </w:rPr>
        <w:t xml:space="preserve"> Our graduate students are well prepared for doctoral-level work and have excelled in doctoral programs.  Of our graduates that applied to doctoral programs, 92% were accepted (24 out of 26).  Approximately 65% of our graduates applied to doctoral programs (see Figure 8).  </w:t>
      </w:r>
    </w:p>
    <w:p w14:paraId="1CBEF35C" w14:textId="77777777" w:rsidR="00587E4F" w:rsidRPr="00E71CE9" w:rsidRDefault="00587E4F" w:rsidP="00587E4F">
      <w:pPr>
        <w:ind w:left="360"/>
        <w:jc w:val="center"/>
        <w:rPr>
          <w:color w:val="000000" w:themeColor="text1"/>
        </w:rPr>
      </w:pPr>
      <w:r w:rsidRPr="00CD65EC">
        <w:rPr>
          <w:noProof/>
        </w:rPr>
        <w:drawing>
          <wp:inline distT="0" distB="0" distL="0" distR="0" wp14:anchorId="52070ECF" wp14:editId="73CFFF60">
            <wp:extent cx="4524375" cy="2914650"/>
            <wp:effectExtent l="0" t="0" r="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8AC3E5" w14:textId="77777777" w:rsidR="00587E4F" w:rsidRPr="00E71CE9" w:rsidRDefault="00587E4F" w:rsidP="00587E4F">
      <w:pPr>
        <w:ind w:left="360"/>
        <w:jc w:val="center"/>
        <w:rPr>
          <w:color w:val="000000" w:themeColor="text1"/>
        </w:rPr>
      </w:pPr>
    </w:p>
    <w:p w14:paraId="3A8A203A" w14:textId="77777777" w:rsidR="00587E4F" w:rsidRPr="00E71CE9" w:rsidRDefault="00587E4F" w:rsidP="00587E4F">
      <w:pPr>
        <w:ind w:left="360"/>
        <w:jc w:val="center"/>
        <w:rPr>
          <w:color w:val="000000" w:themeColor="text1"/>
        </w:rPr>
      </w:pPr>
    </w:p>
    <w:p w14:paraId="60032A75" w14:textId="77777777" w:rsidR="00587E4F" w:rsidRPr="00E71CE9" w:rsidRDefault="00587E4F" w:rsidP="00587E4F">
      <w:pPr>
        <w:autoSpaceDE w:val="0"/>
        <w:autoSpaceDN w:val="0"/>
        <w:adjustRightInd w:val="0"/>
        <w:ind w:left="360"/>
        <w:jc w:val="center"/>
        <w:rPr>
          <w:color w:val="000000"/>
        </w:rPr>
      </w:pPr>
      <w:r w:rsidRPr="00E71CE9">
        <w:rPr>
          <w:i/>
          <w:color w:val="000000"/>
        </w:rPr>
        <w:t>Figure 8.</w:t>
      </w:r>
      <w:r w:rsidRPr="00E71CE9">
        <w:rPr>
          <w:color w:val="000000"/>
        </w:rPr>
        <w:t xml:space="preserve"> Career Choices of Psychology M.S. students after graduation (since 2003).</w:t>
      </w:r>
    </w:p>
    <w:p w14:paraId="7480BF17" w14:textId="77777777" w:rsidR="00587E4F" w:rsidRPr="00E71CE9" w:rsidRDefault="00587E4F" w:rsidP="00587E4F">
      <w:pPr>
        <w:ind w:left="2520"/>
        <w:rPr>
          <w:color w:val="000000" w:themeColor="text1"/>
        </w:rPr>
      </w:pPr>
    </w:p>
    <w:p w14:paraId="0A2FC77A" w14:textId="77777777" w:rsidR="00587E4F" w:rsidRPr="00491936" w:rsidRDefault="00587E4F" w:rsidP="00587E4F">
      <w:pPr>
        <w:rPr>
          <w:color w:val="000000" w:themeColor="text1"/>
        </w:rPr>
      </w:pPr>
    </w:p>
    <w:p w14:paraId="66043902" w14:textId="77777777" w:rsidR="00587E4F" w:rsidRDefault="00587E4F" w:rsidP="00587E4F">
      <w:pPr>
        <w:pStyle w:val="ListParagraph"/>
        <w:numPr>
          <w:ilvl w:val="3"/>
          <w:numId w:val="25"/>
        </w:numPr>
        <w:rPr>
          <w:color w:val="000000" w:themeColor="text1"/>
        </w:rPr>
      </w:pPr>
      <w:r w:rsidRPr="00CD65EC">
        <w:rPr>
          <w:b/>
          <w:color w:val="000000" w:themeColor="text1"/>
        </w:rPr>
        <w:t>Graduate student surveys</w:t>
      </w:r>
      <w:r w:rsidRPr="00CD65EC">
        <w:rPr>
          <w:color w:val="000000" w:themeColor="text1"/>
        </w:rPr>
        <w:t xml:space="preserve"> conducted from 2007-2010 revealed that graduate students were generally pleased with the program. The four questions asked concerned (1) overall satisfaction with the program, (2) instruction in graduate classes, (3) research/thesis experiences, and (4) career advising and placement.  These data are shown in Figure 9. As can be seen, the students rated the graduate program high in all areas, with an especially high rating (4.7) in “research/thesis experience.”</w:t>
      </w:r>
      <w:r>
        <w:rPr>
          <w:color w:val="000000" w:themeColor="text1"/>
        </w:rPr>
        <w:t xml:space="preserve">  </w:t>
      </w:r>
    </w:p>
    <w:p w14:paraId="4B0BE994" w14:textId="77777777" w:rsidR="00587E4F" w:rsidRPr="00BB75E5" w:rsidRDefault="00587E4F" w:rsidP="00587E4F">
      <w:pPr>
        <w:ind w:left="2520"/>
        <w:jc w:val="center"/>
        <w:rPr>
          <w:color w:val="000000" w:themeColor="text1"/>
        </w:rPr>
      </w:pPr>
    </w:p>
    <w:p w14:paraId="230CA32A" w14:textId="77777777" w:rsidR="00587E4F" w:rsidRPr="00BB75E5" w:rsidRDefault="00587E4F" w:rsidP="00587E4F">
      <w:pPr>
        <w:ind w:left="2520"/>
        <w:jc w:val="center"/>
        <w:rPr>
          <w:color w:val="000000" w:themeColor="text1"/>
        </w:rPr>
      </w:pPr>
      <w:r w:rsidRPr="00BB75E5">
        <w:rPr>
          <w:noProof/>
        </w:rPr>
        <w:drawing>
          <wp:inline distT="0" distB="0" distL="0" distR="0" wp14:anchorId="0D850BED" wp14:editId="442734ED">
            <wp:extent cx="3844911" cy="2564608"/>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53726" cy="2570488"/>
                    </a:xfrm>
                    <a:prstGeom prst="rect">
                      <a:avLst/>
                    </a:prstGeom>
                    <a:noFill/>
                  </pic:spPr>
                </pic:pic>
              </a:graphicData>
            </a:graphic>
          </wp:inline>
        </w:drawing>
      </w:r>
    </w:p>
    <w:p w14:paraId="36DC5847" w14:textId="77777777" w:rsidR="00587E4F" w:rsidRPr="00CD65EC" w:rsidRDefault="00587E4F" w:rsidP="00C71E47">
      <w:pPr>
        <w:autoSpaceDE w:val="0"/>
        <w:autoSpaceDN w:val="0"/>
        <w:adjustRightInd w:val="0"/>
        <w:jc w:val="center"/>
        <w:rPr>
          <w:color w:val="000000"/>
        </w:rPr>
      </w:pPr>
      <w:r w:rsidRPr="00CD65EC">
        <w:rPr>
          <w:i/>
          <w:color w:val="000000"/>
        </w:rPr>
        <w:t>Figure 9.</w:t>
      </w:r>
      <w:r w:rsidRPr="00CD65EC">
        <w:rPr>
          <w:color w:val="000000"/>
        </w:rPr>
        <w:t xml:space="preserve"> Graduate students’ rating of graduate program (2007-2010). (5= very satisfied)</w:t>
      </w:r>
    </w:p>
    <w:p w14:paraId="3E33635A" w14:textId="77777777" w:rsidR="00587E4F" w:rsidRDefault="00587E4F" w:rsidP="00587E4F">
      <w:pPr>
        <w:rPr>
          <w:color w:val="000000" w:themeColor="text1"/>
        </w:rPr>
      </w:pPr>
    </w:p>
    <w:p w14:paraId="54773914" w14:textId="77777777" w:rsidR="00587E4F" w:rsidRPr="001A6994" w:rsidRDefault="00587E4F" w:rsidP="00587E4F">
      <w:pPr>
        <w:rPr>
          <w:color w:val="000000" w:themeColor="text1"/>
        </w:rPr>
      </w:pPr>
    </w:p>
    <w:p w14:paraId="7CD595BE" w14:textId="1A954935" w:rsidR="00587E4F" w:rsidRDefault="00587E4F" w:rsidP="00587E4F">
      <w:pPr>
        <w:pStyle w:val="ListParagraph"/>
        <w:numPr>
          <w:ilvl w:val="3"/>
          <w:numId w:val="25"/>
        </w:numPr>
        <w:rPr>
          <w:color w:val="000000" w:themeColor="text1"/>
        </w:rPr>
      </w:pPr>
      <w:r w:rsidRPr="00CD65EC">
        <w:rPr>
          <w:b/>
          <w:color w:val="000000" w:themeColor="text1"/>
        </w:rPr>
        <w:t xml:space="preserve">Graduate student research productivity.  </w:t>
      </w:r>
      <w:r w:rsidRPr="00484091">
        <w:rPr>
          <w:color w:val="000000" w:themeColor="text1"/>
        </w:rPr>
        <w:t xml:space="preserve">Since 2007, students have presented 62 papers at scientific conferences, and have published 29 papers as co-authors.  This high rate of success in research dissemination is strong evidence of the effectiveness of our </w:t>
      </w:r>
      <w:r>
        <w:rPr>
          <w:color w:val="000000" w:themeColor="text1"/>
        </w:rPr>
        <w:t xml:space="preserve">M.S. </w:t>
      </w:r>
      <w:r w:rsidRPr="00484091">
        <w:rPr>
          <w:color w:val="000000" w:themeColor="text1"/>
        </w:rPr>
        <w:t>program in Psychological Science.</w:t>
      </w:r>
      <w:r>
        <w:rPr>
          <w:color w:val="000000" w:themeColor="text1"/>
        </w:rPr>
        <w:t xml:space="preserve"> Our students regularly present</w:t>
      </w:r>
      <w:r w:rsidRPr="00CD65EC">
        <w:rPr>
          <w:color w:val="000000" w:themeColor="text1"/>
        </w:rPr>
        <w:t xml:space="preserve"> their research as co-authors at regional scientific conferences as well as at national and international venues including Association for Psychological Science (APS), APA, Psychonomics, Society for Persona</w:t>
      </w:r>
      <w:r>
        <w:rPr>
          <w:color w:val="000000" w:themeColor="text1"/>
        </w:rPr>
        <w:t>lity and Social Psychology. Their publications are in peer-refereed journals.</w:t>
      </w:r>
    </w:p>
    <w:p w14:paraId="6AD1843B" w14:textId="77777777" w:rsidR="00D52D1A" w:rsidRDefault="00D52D1A" w:rsidP="001F7ED9">
      <w:pPr>
        <w:rPr>
          <w:b/>
        </w:rPr>
      </w:pPr>
    </w:p>
    <w:p w14:paraId="02CAA880" w14:textId="77777777" w:rsidR="00D52D1A" w:rsidRDefault="00D52D1A" w:rsidP="001F7ED9">
      <w:pPr>
        <w:rPr>
          <w:b/>
        </w:rPr>
      </w:pPr>
    </w:p>
    <w:p w14:paraId="33AEDAB1" w14:textId="77777777" w:rsidR="00D52D1A" w:rsidRDefault="00D52D1A" w:rsidP="001F7ED9">
      <w:pPr>
        <w:rPr>
          <w:b/>
        </w:rPr>
      </w:pPr>
    </w:p>
    <w:p w14:paraId="375FE85B" w14:textId="77777777" w:rsidR="001F7ED9" w:rsidRDefault="001F7ED9" w:rsidP="001F7ED9"/>
    <w:p w14:paraId="7561C02D" w14:textId="77777777" w:rsidR="001F7ED9" w:rsidRDefault="001F7ED9" w:rsidP="001F7ED9"/>
    <w:p w14:paraId="42166560" w14:textId="77777777" w:rsidR="001F7ED9" w:rsidRDefault="001F7ED9" w:rsidP="001F7ED9"/>
    <w:p w14:paraId="703BE46C" w14:textId="7959536F" w:rsidR="001F7ED9" w:rsidRDefault="00C016CC" w:rsidP="001F7ED9">
      <w:r>
        <w:tab/>
        <w:t xml:space="preserve"> </w:t>
      </w:r>
    </w:p>
    <w:p w14:paraId="5B546EB4" w14:textId="77777777" w:rsidR="003B0C35" w:rsidRDefault="003B0C35" w:rsidP="001F7ED9"/>
    <w:p w14:paraId="5127E1A8" w14:textId="77777777" w:rsidR="003B0C35" w:rsidRDefault="003B0C35" w:rsidP="001F7ED9"/>
    <w:p w14:paraId="0208C3F3" w14:textId="77777777" w:rsidR="003B0C35" w:rsidRDefault="003B0C35" w:rsidP="001F7ED9"/>
    <w:p w14:paraId="2551F38E" w14:textId="77777777" w:rsidR="003B0C35" w:rsidRDefault="003B0C35" w:rsidP="001F7ED9"/>
    <w:p w14:paraId="53F963DB" w14:textId="77777777" w:rsidR="003B0C35" w:rsidRDefault="003B0C35" w:rsidP="001F7ED9"/>
    <w:p w14:paraId="2178AE2A" w14:textId="77777777" w:rsidR="003B0C35" w:rsidRDefault="003B0C35" w:rsidP="001F7ED9"/>
    <w:p w14:paraId="2DBE406C" w14:textId="76BA4DCA" w:rsidR="003B0C35" w:rsidRDefault="003B0C35">
      <w:r>
        <w:br w:type="page"/>
      </w:r>
    </w:p>
    <w:p w14:paraId="6447476D" w14:textId="77777777" w:rsidR="003B0C35" w:rsidRDefault="003B0C35" w:rsidP="001F7ED9"/>
    <w:p w14:paraId="44B6E730" w14:textId="77777777" w:rsidR="001F7ED9" w:rsidRDefault="001F7ED9" w:rsidP="001F7ED9"/>
    <w:p w14:paraId="37D00244" w14:textId="5FF4C0B2" w:rsidR="001F7ED9" w:rsidRPr="002411AD" w:rsidRDefault="001F7ED9" w:rsidP="001F7ED9">
      <w:pPr>
        <w:rPr>
          <w:b/>
        </w:rPr>
      </w:pPr>
      <w:r w:rsidRPr="002411AD">
        <w:rPr>
          <w:b/>
        </w:rPr>
        <w:t>Psychology Departm</w:t>
      </w:r>
      <w:r w:rsidR="009E2AB6">
        <w:rPr>
          <w:b/>
        </w:rPr>
        <w:t xml:space="preserve">ent </w:t>
      </w:r>
      <w:r w:rsidR="00055B2A">
        <w:rPr>
          <w:b/>
        </w:rPr>
        <w:t xml:space="preserve">Undergraduate </w:t>
      </w:r>
      <w:r w:rsidR="009E2AB6">
        <w:rPr>
          <w:b/>
        </w:rPr>
        <w:t>Assessment Plan Timeline</w:t>
      </w:r>
    </w:p>
    <w:p w14:paraId="41F3BEC6" w14:textId="77777777" w:rsidR="001F7ED9" w:rsidRDefault="001F7ED9" w:rsidP="001F7ED9"/>
    <w:tbl>
      <w:tblPr>
        <w:tblStyle w:val="TableGrid"/>
        <w:tblW w:w="0" w:type="auto"/>
        <w:tblLook w:val="00BF" w:firstRow="1" w:lastRow="0" w:firstColumn="1" w:lastColumn="0" w:noHBand="0" w:noVBand="0"/>
      </w:tblPr>
      <w:tblGrid>
        <w:gridCol w:w="1699"/>
        <w:gridCol w:w="1265"/>
        <w:gridCol w:w="1265"/>
        <w:gridCol w:w="1265"/>
        <w:gridCol w:w="1265"/>
        <w:gridCol w:w="1430"/>
        <w:gridCol w:w="2487"/>
      </w:tblGrid>
      <w:tr w:rsidR="001F7ED9" w14:paraId="59D6F34D" w14:textId="77777777">
        <w:tc>
          <w:tcPr>
            <w:tcW w:w="1699" w:type="dxa"/>
          </w:tcPr>
          <w:p w14:paraId="3EEA8420" w14:textId="77777777" w:rsidR="001F7ED9" w:rsidRDefault="001F7ED9"/>
        </w:tc>
        <w:tc>
          <w:tcPr>
            <w:tcW w:w="1265" w:type="dxa"/>
          </w:tcPr>
          <w:p w14:paraId="45DBA36E" w14:textId="77777777" w:rsidR="001F7ED9" w:rsidRDefault="001F7ED9">
            <w:r>
              <w:t>2011-2012</w:t>
            </w:r>
          </w:p>
        </w:tc>
        <w:tc>
          <w:tcPr>
            <w:tcW w:w="1265" w:type="dxa"/>
          </w:tcPr>
          <w:p w14:paraId="16198AB4" w14:textId="77777777" w:rsidR="001F7ED9" w:rsidRDefault="001F7ED9">
            <w:r>
              <w:t>2012-2013</w:t>
            </w:r>
          </w:p>
        </w:tc>
        <w:tc>
          <w:tcPr>
            <w:tcW w:w="1265" w:type="dxa"/>
          </w:tcPr>
          <w:p w14:paraId="6CEAE9C3" w14:textId="77777777" w:rsidR="001F7ED9" w:rsidRDefault="001F7ED9">
            <w:r>
              <w:t>2013-2014</w:t>
            </w:r>
          </w:p>
        </w:tc>
        <w:tc>
          <w:tcPr>
            <w:tcW w:w="1265" w:type="dxa"/>
          </w:tcPr>
          <w:p w14:paraId="0B16DDE5" w14:textId="77777777" w:rsidR="001F7ED9" w:rsidRDefault="001F7ED9">
            <w:r>
              <w:t>2014-2015</w:t>
            </w:r>
          </w:p>
        </w:tc>
        <w:tc>
          <w:tcPr>
            <w:tcW w:w="1302" w:type="dxa"/>
          </w:tcPr>
          <w:p w14:paraId="074B5E01" w14:textId="77777777" w:rsidR="001F7ED9" w:rsidRDefault="001F7ED9">
            <w:r>
              <w:t>Rubrics</w:t>
            </w:r>
          </w:p>
        </w:tc>
        <w:tc>
          <w:tcPr>
            <w:tcW w:w="2487" w:type="dxa"/>
          </w:tcPr>
          <w:p w14:paraId="71620E99" w14:textId="77777777" w:rsidR="001F7ED9" w:rsidRDefault="001F7ED9">
            <w:r>
              <w:t>Courses for data</w:t>
            </w:r>
          </w:p>
        </w:tc>
      </w:tr>
      <w:tr w:rsidR="001F7ED9" w14:paraId="60036788" w14:textId="77777777">
        <w:tc>
          <w:tcPr>
            <w:tcW w:w="1699" w:type="dxa"/>
          </w:tcPr>
          <w:p w14:paraId="2640A438" w14:textId="77777777" w:rsidR="001F7ED9" w:rsidRDefault="001F7ED9">
            <w:r>
              <w:t>1. Psychology Knowledge Base</w:t>
            </w:r>
          </w:p>
        </w:tc>
        <w:tc>
          <w:tcPr>
            <w:tcW w:w="1265" w:type="dxa"/>
          </w:tcPr>
          <w:p w14:paraId="18E8CA9E" w14:textId="77777777" w:rsidR="001F7ED9" w:rsidRDefault="001F7ED9"/>
        </w:tc>
        <w:tc>
          <w:tcPr>
            <w:tcW w:w="1265" w:type="dxa"/>
          </w:tcPr>
          <w:p w14:paraId="35B1D3CF" w14:textId="77777777" w:rsidR="001F7ED9" w:rsidRDefault="001F7ED9">
            <w:r>
              <w:t xml:space="preserve"> X</w:t>
            </w:r>
          </w:p>
        </w:tc>
        <w:tc>
          <w:tcPr>
            <w:tcW w:w="1265" w:type="dxa"/>
          </w:tcPr>
          <w:p w14:paraId="02177FD3" w14:textId="77777777" w:rsidR="001F7ED9" w:rsidRDefault="001F7ED9">
            <w:r>
              <w:t>X</w:t>
            </w:r>
          </w:p>
        </w:tc>
        <w:tc>
          <w:tcPr>
            <w:tcW w:w="1265" w:type="dxa"/>
          </w:tcPr>
          <w:p w14:paraId="5A8F6A0A" w14:textId="77777777" w:rsidR="001F7ED9" w:rsidRDefault="001F7ED9">
            <w:r>
              <w:t>X</w:t>
            </w:r>
          </w:p>
        </w:tc>
        <w:tc>
          <w:tcPr>
            <w:tcW w:w="1302" w:type="dxa"/>
          </w:tcPr>
          <w:p w14:paraId="4AE3D7CD" w14:textId="77777777" w:rsidR="001F7ED9" w:rsidRDefault="00E12BB6">
            <w:r>
              <w:t xml:space="preserve"> Criterion-referenced test items</w:t>
            </w:r>
          </w:p>
        </w:tc>
        <w:tc>
          <w:tcPr>
            <w:tcW w:w="2487" w:type="dxa"/>
          </w:tcPr>
          <w:p w14:paraId="21DABFF9" w14:textId="2C874FB7" w:rsidR="001F7ED9" w:rsidRDefault="001F7ED9">
            <w:r>
              <w:t>all courses (different courses in different years)</w:t>
            </w:r>
            <w:r w:rsidR="00214CAB">
              <w:t xml:space="preserve">. A minimum of one course per year will be assessed. </w:t>
            </w:r>
          </w:p>
        </w:tc>
      </w:tr>
      <w:tr w:rsidR="001F7ED9" w14:paraId="055DA356" w14:textId="77777777">
        <w:tc>
          <w:tcPr>
            <w:tcW w:w="1699" w:type="dxa"/>
          </w:tcPr>
          <w:p w14:paraId="7DA7AF75" w14:textId="77777777" w:rsidR="001F7ED9" w:rsidRDefault="001F7ED9">
            <w:r>
              <w:t>2. Research Methods</w:t>
            </w:r>
          </w:p>
        </w:tc>
        <w:tc>
          <w:tcPr>
            <w:tcW w:w="1265" w:type="dxa"/>
          </w:tcPr>
          <w:p w14:paraId="250320A7" w14:textId="77777777" w:rsidR="001F7ED9" w:rsidRDefault="001F7ED9">
            <w:r>
              <w:t xml:space="preserve">  X</w:t>
            </w:r>
          </w:p>
        </w:tc>
        <w:tc>
          <w:tcPr>
            <w:tcW w:w="1265" w:type="dxa"/>
          </w:tcPr>
          <w:p w14:paraId="040877F8" w14:textId="77777777" w:rsidR="001F7ED9" w:rsidRDefault="001F7ED9">
            <w:r>
              <w:t xml:space="preserve"> X</w:t>
            </w:r>
          </w:p>
        </w:tc>
        <w:tc>
          <w:tcPr>
            <w:tcW w:w="1265" w:type="dxa"/>
          </w:tcPr>
          <w:p w14:paraId="53EF1BA4" w14:textId="77777777" w:rsidR="001F7ED9" w:rsidRDefault="001F7ED9">
            <w:r>
              <w:t xml:space="preserve">  X</w:t>
            </w:r>
          </w:p>
        </w:tc>
        <w:tc>
          <w:tcPr>
            <w:tcW w:w="1265" w:type="dxa"/>
          </w:tcPr>
          <w:p w14:paraId="17044569" w14:textId="212CDB6B" w:rsidR="001F7ED9" w:rsidRDefault="0083756B">
            <w:r>
              <w:t>X</w:t>
            </w:r>
          </w:p>
        </w:tc>
        <w:tc>
          <w:tcPr>
            <w:tcW w:w="1302" w:type="dxa"/>
          </w:tcPr>
          <w:p w14:paraId="19E79707" w14:textId="2A8A92C2" w:rsidR="001F7ED9" w:rsidRDefault="00055B2A" w:rsidP="00055B2A">
            <w:r>
              <w:t>LEAP</w:t>
            </w:r>
            <w:r w:rsidR="0083756B">
              <w:t xml:space="preserve">, </w:t>
            </w:r>
            <w:r>
              <w:t xml:space="preserve"> publications and presentations</w:t>
            </w:r>
          </w:p>
        </w:tc>
        <w:tc>
          <w:tcPr>
            <w:tcW w:w="2487" w:type="dxa"/>
          </w:tcPr>
          <w:p w14:paraId="64999EC3" w14:textId="77777777" w:rsidR="001F7ED9" w:rsidRDefault="001F7ED9">
            <w:r>
              <w:t>Psyx 499R</w:t>
            </w:r>
          </w:p>
          <w:p w14:paraId="746C9A05" w14:textId="77777777" w:rsidR="001F7ED9" w:rsidRDefault="001F7ED9">
            <w:r>
              <w:t>Psyx 223, 225, 490R</w:t>
            </w:r>
          </w:p>
        </w:tc>
      </w:tr>
      <w:tr w:rsidR="001F7ED9" w14:paraId="4E16305D" w14:textId="77777777">
        <w:tc>
          <w:tcPr>
            <w:tcW w:w="1699" w:type="dxa"/>
          </w:tcPr>
          <w:p w14:paraId="744FD4E8" w14:textId="77777777" w:rsidR="001F7ED9" w:rsidRDefault="001F7ED9">
            <w:r>
              <w:t>3. Critical thinking in Psychology</w:t>
            </w:r>
          </w:p>
        </w:tc>
        <w:tc>
          <w:tcPr>
            <w:tcW w:w="1265" w:type="dxa"/>
          </w:tcPr>
          <w:p w14:paraId="35A7D11A" w14:textId="77777777" w:rsidR="001F7ED9" w:rsidRDefault="001F7ED9">
            <w:r>
              <w:t xml:space="preserve">  X</w:t>
            </w:r>
          </w:p>
        </w:tc>
        <w:tc>
          <w:tcPr>
            <w:tcW w:w="1265" w:type="dxa"/>
          </w:tcPr>
          <w:p w14:paraId="020DA000" w14:textId="77777777" w:rsidR="001F7ED9" w:rsidRDefault="001F7ED9">
            <w:r>
              <w:t xml:space="preserve">  X</w:t>
            </w:r>
          </w:p>
        </w:tc>
        <w:tc>
          <w:tcPr>
            <w:tcW w:w="1265" w:type="dxa"/>
          </w:tcPr>
          <w:p w14:paraId="5FBFD366" w14:textId="77777777" w:rsidR="001F7ED9" w:rsidRDefault="001F7ED9">
            <w:r>
              <w:t xml:space="preserve">  X</w:t>
            </w:r>
          </w:p>
        </w:tc>
        <w:tc>
          <w:tcPr>
            <w:tcW w:w="1265" w:type="dxa"/>
          </w:tcPr>
          <w:p w14:paraId="5D1DE11F" w14:textId="77777777" w:rsidR="001F7ED9" w:rsidRDefault="001F7ED9"/>
        </w:tc>
        <w:tc>
          <w:tcPr>
            <w:tcW w:w="1302" w:type="dxa"/>
          </w:tcPr>
          <w:p w14:paraId="5E5256C6" w14:textId="5298189B" w:rsidR="001F7ED9" w:rsidRDefault="00055B2A">
            <w:r>
              <w:t>LEAP</w:t>
            </w:r>
          </w:p>
        </w:tc>
        <w:tc>
          <w:tcPr>
            <w:tcW w:w="2487" w:type="dxa"/>
          </w:tcPr>
          <w:p w14:paraId="17D7D514" w14:textId="4B9156B0" w:rsidR="001F7ED9" w:rsidRDefault="001F7ED9" w:rsidP="00055B2A">
            <w:r>
              <w:t xml:space="preserve">Psyx 225, 499R, </w:t>
            </w:r>
          </w:p>
        </w:tc>
      </w:tr>
      <w:tr w:rsidR="001F7ED9" w14:paraId="7184146C" w14:textId="77777777">
        <w:tc>
          <w:tcPr>
            <w:tcW w:w="1699" w:type="dxa"/>
          </w:tcPr>
          <w:p w14:paraId="444A404B" w14:textId="77777777" w:rsidR="001F7ED9" w:rsidRDefault="001F7ED9">
            <w:r>
              <w:t>4. Apply psychology to practical problems</w:t>
            </w:r>
          </w:p>
        </w:tc>
        <w:tc>
          <w:tcPr>
            <w:tcW w:w="1265" w:type="dxa"/>
          </w:tcPr>
          <w:p w14:paraId="6F915549" w14:textId="77777777" w:rsidR="001F7ED9" w:rsidRDefault="001F7ED9"/>
        </w:tc>
        <w:tc>
          <w:tcPr>
            <w:tcW w:w="1265" w:type="dxa"/>
          </w:tcPr>
          <w:p w14:paraId="3581BBC5" w14:textId="77777777" w:rsidR="001F7ED9" w:rsidRDefault="001F7ED9"/>
        </w:tc>
        <w:tc>
          <w:tcPr>
            <w:tcW w:w="1265" w:type="dxa"/>
          </w:tcPr>
          <w:p w14:paraId="4D0D3DEC" w14:textId="77777777" w:rsidR="001F7ED9" w:rsidRDefault="001F7ED9">
            <w:r>
              <w:t xml:space="preserve"> X</w:t>
            </w:r>
          </w:p>
        </w:tc>
        <w:tc>
          <w:tcPr>
            <w:tcW w:w="1265" w:type="dxa"/>
          </w:tcPr>
          <w:p w14:paraId="100D59E8" w14:textId="689173CD" w:rsidR="001F7ED9" w:rsidRDefault="0083756B">
            <w:r>
              <w:t>X</w:t>
            </w:r>
          </w:p>
        </w:tc>
        <w:tc>
          <w:tcPr>
            <w:tcW w:w="1302" w:type="dxa"/>
          </w:tcPr>
          <w:p w14:paraId="6B3EE495" w14:textId="169A7D8C" w:rsidR="001F7ED9" w:rsidRDefault="00055B2A">
            <w:r>
              <w:t>Criterion-referenced test items</w:t>
            </w:r>
          </w:p>
        </w:tc>
        <w:tc>
          <w:tcPr>
            <w:tcW w:w="2487" w:type="dxa"/>
          </w:tcPr>
          <w:p w14:paraId="66D41705" w14:textId="77777777" w:rsidR="001F7ED9" w:rsidRDefault="001F7ED9">
            <w:r>
              <w:t>Psyx 370, 375, 475, 495</w:t>
            </w:r>
          </w:p>
        </w:tc>
      </w:tr>
      <w:tr w:rsidR="001F7ED9" w14:paraId="2749BF94" w14:textId="77777777">
        <w:tc>
          <w:tcPr>
            <w:tcW w:w="1699" w:type="dxa"/>
          </w:tcPr>
          <w:p w14:paraId="73106BDE" w14:textId="77777777" w:rsidR="001F7ED9" w:rsidRDefault="001F7ED9">
            <w:r>
              <w:t>5. Values in psychology</w:t>
            </w:r>
          </w:p>
        </w:tc>
        <w:tc>
          <w:tcPr>
            <w:tcW w:w="1265" w:type="dxa"/>
          </w:tcPr>
          <w:p w14:paraId="58070E92" w14:textId="77777777" w:rsidR="001F7ED9" w:rsidRDefault="001F7ED9">
            <w:r>
              <w:t xml:space="preserve"> X</w:t>
            </w:r>
          </w:p>
        </w:tc>
        <w:tc>
          <w:tcPr>
            <w:tcW w:w="1265" w:type="dxa"/>
          </w:tcPr>
          <w:p w14:paraId="21C6D8AC" w14:textId="77777777" w:rsidR="001F7ED9" w:rsidRDefault="001F7ED9">
            <w:r>
              <w:t xml:space="preserve"> X</w:t>
            </w:r>
          </w:p>
        </w:tc>
        <w:tc>
          <w:tcPr>
            <w:tcW w:w="1265" w:type="dxa"/>
          </w:tcPr>
          <w:p w14:paraId="64730BF5" w14:textId="77777777" w:rsidR="001F7ED9" w:rsidRDefault="001F7ED9">
            <w:r>
              <w:t xml:space="preserve">  X</w:t>
            </w:r>
          </w:p>
        </w:tc>
        <w:tc>
          <w:tcPr>
            <w:tcW w:w="1265" w:type="dxa"/>
          </w:tcPr>
          <w:p w14:paraId="2C9EAF2A" w14:textId="0D85A696" w:rsidR="001F7ED9" w:rsidRDefault="003B0C35">
            <w:r>
              <w:t>X</w:t>
            </w:r>
          </w:p>
        </w:tc>
        <w:tc>
          <w:tcPr>
            <w:tcW w:w="1302" w:type="dxa"/>
          </w:tcPr>
          <w:p w14:paraId="5EB2AD15" w14:textId="05A27CB9" w:rsidR="001F7ED9" w:rsidRDefault="00055B2A">
            <w:r>
              <w:t>Lawrence Rubric</w:t>
            </w:r>
          </w:p>
        </w:tc>
        <w:tc>
          <w:tcPr>
            <w:tcW w:w="2487" w:type="dxa"/>
          </w:tcPr>
          <w:p w14:paraId="07A6DBC5" w14:textId="77777777" w:rsidR="001F7ED9" w:rsidRDefault="001F7ED9">
            <w:r>
              <w:t>Psyx  225, 499R</w:t>
            </w:r>
          </w:p>
        </w:tc>
      </w:tr>
      <w:tr w:rsidR="001F7ED9" w14:paraId="0AAD438F" w14:textId="77777777">
        <w:tc>
          <w:tcPr>
            <w:tcW w:w="1699" w:type="dxa"/>
          </w:tcPr>
          <w:p w14:paraId="53474E48" w14:textId="77777777" w:rsidR="001F7ED9" w:rsidRDefault="001F7ED9">
            <w:r>
              <w:t>6. Information and technological literacy</w:t>
            </w:r>
          </w:p>
        </w:tc>
        <w:tc>
          <w:tcPr>
            <w:tcW w:w="1265" w:type="dxa"/>
          </w:tcPr>
          <w:p w14:paraId="7192FEDD" w14:textId="77777777" w:rsidR="001F7ED9" w:rsidRDefault="001F7ED9"/>
        </w:tc>
        <w:tc>
          <w:tcPr>
            <w:tcW w:w="1265" w:type="dxa"/>
          </w:tcPr>
          <w:p w14:paraId="2F4854E7" w14:textId="77777777" w:rsidR="001F7ED9" w:rsidRDefault="001F7ED9">
            <w:r>
              <w:t>X</w:t>
            </w:r>
          </w:p>
        </w:tc>
        <w:tc>
          <w:tcPr>
            <w:tcW w:w="1265" w:type="dxa"/>
          </w:tcPr>
          <w:p w14:paraId="04EDFC10" w14:textId="77777777" w:rsidR="001F7ED9" w:rsidRDefault="001F7ED9"/>
        </w:tc>
        <w:tc>
          <w:tcPr>
            <w:tcW w:w="1265" w:type="dxa"/>
          </w:tcPr>
          <w:p w14:paraId="38EB92A2" w14:textId="77777777" w:rsidR="001F7ED9" w:rsidRDefault="001F7ED9"/>
        </w:tc>
        <w:tc>
          <w:tcPr>
            <w:tcW w:w="1302" w:type="dxa"/>
          </w:tcPr>
          <w:p w14:paraId="406519C2" w14:textId="2056AC61" w:rsidR="001F7ED9" w:rsidRDefault="00055B2A">
            <w:r>
              <w:t>LEAP</w:t>
            </w:r>
          </w:p>
        </w:tc>
        <w:tc>
          <w:tcPr>
            <w:tcW w:w="2487" w:type="dxa"/>
          </w:tcPr>
          <w:p w14:paraId="0199F734" w14:textId="77777777" w:rsidR="001F7ED9" w:rsidRDefault="001F7ED9">
            <w:r>
              <w:t>Psyx 223, 225, 499R plus others</w:t>
            </w:r>
          </w:p>
        </w:tc>
      </w:tr>
      <w:tr w:rsidR="001F7ED9" w14:paraId="5C0C2013" w14:textId="77777777">
        <w:tc>
          <w:tcPr>
            <w:tcW w:w="1699" w:type="dxa"/>
          </w:tcPr>
          <w:p w14:paraId="34058B3C" w14:textId="77777777" w:rsidR="001F7ED9" w:rsidRDefault="001F7ED9">
            <w:r>
              <w:t>7. Communication skills</w:t>
            </w:r>
          </w:p>
        </w:tc>
        <w:tc>
          <w:tcPr>
            <w:tcW w:w="1265" w:type="dxa"/>
          </w:tcPr>
          <w:p w14:paraId="53BB4A4F" w14:textId="77777777" w:rsidR="001F7ED9" w:rsidRDefault="001F7ED9">
            <w:r>
              <w:t xml:space="preserve">  X </w:t>
            </w:r>
          </w:p>
        </w:tc>
        <w:tc>
          <w:tcPr>
            <w:tcW w:w="1265" w:type="dxa"/>
          </w:tcPr>
          <w:p w14:paraId="531EA229" w14:textId="77777777" w:rsidR="001F7ED9" w:rsidRDefault="001F7ED9">
            <w:r>
              <w:t xml:space="preserve">  X</w:t>
            </w:r>
          </w:p>
        </w:tc>
        <w:tc>
          <w:tcPr>
            <w:tcW w:w="1265" w:type="dxa"/>
          </w:tcPr>
          <w:p w14:paraId="593FDECD" w14:textId="77777777" w:rsidR="001F7ED9" w:rsidRDefault="001F7ED9">
            <w:r>
              <w:t xml:space="preserve">  X</w:t>
            </w:r>
          </w:p>
        </w:tc>
        <w:tc>
          <w:tcPr>
            <w:tcW w:w="1265" w:type="dxa"/>
          </w:tcPr>
          <w:p w14:paraId="02534B7F" w14:textId="77777777" w:rsidR="001F7ED9" w:rsidRDefault="001F7ED9"/>
        </w:tc>
        <w:tc>
          <w:tcPr>
            <w:tcW w:w="1302" w:type="dxa"/>
          </w:tcPr>
          <w:p w14:paraId="508405A0" w14:textId="38A9E05B" w:rsidR="001F7ED9" w:rsidRDefault="00055B2A">
            <w:r>
              <w:t>LEAP</w:t>
            </w:r>
          </w:p>
        </w:tc>
        <w:tc>
          <w:tcPr>
            <w:tcW w:w="2487" w:type="dxa"/>
          </w:tcPr>
          <w:p w14:paraId="73D8B7B2" w14:textId="77777777" w:rsidR="001F7ED9" w:rsidRDefault="001F7ED9">
            <w:r>
              <w:t>Psyx 225, 499R</w:t>
            </w:r>
          </w:p>
        </w:tc>
      </w:tr>
      <w:tr w:rsidR="001F7ED9" w14:paraId="36D37911" w14:textId="77777777">
        <w:tc>
          <w:tcPr>
            <w:tcW w:w="1699" w:type="dxa"/>
          </w:tcPr>
          <w:p w14:paraId="58374ED8" w14:textId="77777777" w:rsidR="001F7ED9" w:rsidRDefault="001F7ED9">
            <w:r>
              <w:t>8. Sociocultural and international awareness</w:t>
            </w:r>
          </w:p>
        </w:tc>
        <w:tc>
          <w:tcPr>
            <w:tcW w:w="1265" w:type="dxa"/>
          </w:tcPr>
          <w:p w14:paraId="5CD89B6B" w14:textId="77777777" w:rsidR="001F7ED9" w:rsidRDefault="001F7ED9"/>
        </w:tc>
        <w:tc>
          <w:tcPr>
            <w:tcW w:w="1265" w:type="dxa"/>
          </w:tcPr>
          <w:p w14:paraId="7CCF47BC" w14:textId="77777777" w:rsidR="001F7ED9" w:rsidRDefault="001F7ED9"/>
        </w:tc>
        <w:tc>
          <w:tcPr>
            <w:tcW w:w="1265" w:type="dxa"/>
          </w:tcPr>
          <w:p w14:paraId="36FFFEC5" w14:textId="77777777" w:rsidR="001F7ED9" w:rsidRDefault="001F7ED9">
            <w:r>
              <w:t xml:space="preserve"> X</w:t>
            </w:r>
          </w:p>
        </w:tc>
        <w:tc>
          <w:tcPr>
            <w:tcW w:w="1265" w:type="dxa"/>
          </w:tcPr>
          <w:p w14:paraId="15DD8EA1" w14:textId="77777777" w:rsidR="001F7ED9" w:rsidRDefault="001F7ED9"/>
        </w:tc>
        <w:tc>
          <w:tcPr>
            <w:tcW w:w="1302" w:type="dxa"/>
          </w:tcPr>
          <w:p w14:paraId="6FB57FC4" w14:textId="65F22386" w:rsidR="001F7ED9" w:rsidRDefault="00055B2A">
            <w:r>
              <w:t>LEAP</w:t>
            </w:r>
          </w:p>
        </w:tc>
        <w:tc>
          <w:tcPr>
            <w:tcW w:w="2487" w:type="dxa"/>
          </w:tcPr>
          <w:p w14:paraId="20F374C5" w14:textId="1549B69B" w:rsidR="001F7ED9" w:rsidRDefault="001F7ED9">
            <w:r>
              <w:t xml:space="preserve">Psyx 235D, </w:t>
            </w:r>
            <w:r w:rsidR="00055B2A">
              <w:t xml:space="preserve">333, </w:t>
            </w:r>
            <w:r>
              <w:t xml:space="preserve">335, 462 </w:t>
            </w:r>
          </w:p>
        </w:tc>
      </w:tr>
      <w:tr w:rsidR="001F7ED9" w14:paraId="106704DB" w14:textId="77777777">
        <w:tc>
          <w:tcPr>
            <w:tcW w:w="1699" w:type="dxa"/>
          </w:tcPr>
          <w:p w14:paraId="69D8504C" w14:textId="77777777" w:rsidR="001F7ED9" w:rsidRDefault="001F7ED9">
            <w:r>
              <w:t>9. Personal development</w:t>
            </w:r>
          </w:p>
        </w:tc>
        <w:tc>
          <w:tcPr>
            <w:tcW w:w="1265" w:type="dxa"/>
          </w:tcPr>
          <w:p w14:paraId="2A8D6C9F" w14:textId="77777777" w:rsidR="001F7ED9" w:rsidRDefault="001F7ED9"/>
        </w:tc>
        <w:tc>
          <w:tcPr>
            <w:tcW w:w="1265" w:type="dxa"/>
          </w:tcPr>
          <w:p w14:paraId="0E8CD0A7" w14:textId="77777777" w:rsidR="001F7ED9" w:rsidRDefault="001F7ED9"/>
        </w:tc>
        <w:tc>
          <w:tcPr>
            <w:tcW w:w="1265" w:type="dxa"/>
          </w:tcPr>
          <w:p w14:paraId="4B2D55AF" w14:textId="77777777" w:rsidR="001F7ED9" w:rsidRDefault="001F7ED9">
            <w:r>
              <w:t xml:space="preserve"> X</w:t>
            </w:r>
          </w:p>
        </w:tc>
        <w:tc>
          <w:tcPr>
            <w:tcW w:w="1265" w:type="dxa"/>
          </w:tcPr>
          <w:p w14:paraId="253CEB33" w14:textId="77777777" w:rsidR="001F7ED9" w:rsidRDefault="001F7ED9"/>
        </w:tc>
        <w:tc>
          <w:tcPr>
            <w:tcW w:w="1302" w:type="dxa"/>
          </w:tcPr>
          <w:p w14:paraId="2D17C817" w14:textId="20BA0140" w:rsidR="001F7ED9" w:rsidRDefault="001F7ED9">
            <w:r>
              <w:t xml:space="preserve">Senior </w:t>
            </w:r>
            <w:r w:rsidR="0058762B">
              <w:t>survey</w:t>
            </w:r>
          </w:p>
        </w:tc>
        <w:tc>
          <w:tcPr>
            <w:tcW w:w="2487" w:type="dxa"/>
          </w:tcPr>
          <w:p w14:paraId="0463D58E" w14:textId="77777777" w:rsidR="001F7ED9" w:rsidRDefault="001F7ED9">
            <w:r>
              <w:t>Psyx 375, 475, 495</w:t>
            </w:r>
          </w:p>
          <w:p w14:paraId="050448BC" w14:textId="77777777" w:rsidR="001F7ED9" w:rsidRDefault="001F7ED9">
            <w:r>
              <w:t>Post graduation</w:t>
            </w:r>
          </w:p>
        </w:tc>
      </w:tr>
      <w:tr w:rsidR="001F7ED9" w14:paraId="2514B5D6" w14:textId="77777777">
        <w:tc>
          <w:tcPr>
            <w:tcW w:w="1699" w:type="dxa"/>
          </w:tcPr>
          <w:p w14:paraId="5B31EDA5" w14:textId="77777777" w:rsidR="001F7ED9" w:rsidRDefault="001F7ED9"/>
        </w:tc>
        <w:tc>
          <w:tcPr>
            <w:tcW w:w="1265" w:type="dxa"/>
          </w:tcPr>
          <w:p w14:paraId="2576B39A" w14:textId="77777777" w:rsidR="001F7ED9" w:rsidRDefault="001F7ED9"/>
        </w:tc>
        <w:tc>
          <w:tcPr>
            <w:tcW w:w="1265" w:type="dxa"/>
          </w:tcPr>
          <w:p w14:paraId="55D4DA8F" w14:textId="77777777" w:rsidR="001F7ED9" w:rsidRDefault="001F7ED9"/>
        </w:tc>
        <w:tc>
          <w:tcPr>
            <w:tcW w:w="1265" w:type="dxa"/>
          </w:tcPr>
          <w:p w14:paraId="61D181F4" w14:textId="77777777" w:rsidR="001F7ED9" w:rsidRDefault="001F7ED9"/>
        </w:tc>
        <w:tc>
          <w:tcPr>
            <w:tcW w:w="1265" w:type="dxa"/>
          </w:tcPr>
          <w:p w14:paraId="3D735DF5" w14:textId="77777777" w:rsidR="001F7ED9" w:rsidRDefault="001F7ED9"/>
        </w:tc>
        <w:tc>
          <w:tcPr>
            <w:tcW w:w="1302" w:type="dxa"/>
          </w:tcPr>
          <w:p w14:paraId="0DE86490" w14:textId="77777777" w:rsidR="001F7ED9" w:rsidRDefault="001F7ED9"/>
        </w:tc>
        <w:tc>
          <w:tcPr>
            <w:tcW w:w="2487" w:type="dxa"/>
          </w:tcPr>
          <w:p w14:paraId="276692A6" w14:textId="77777777" w:rsidR="001F7ED9" w:rsidRDefault="001F7ED9"/>
        </w:tc>
      </w:tr>
    </w:tbl>
    <w:p w14:paraId="269089D1" w14:textId="69CAC93B" w:rsidR="001F7ED9" w:rsidRDefault="001F7ED9" w:rsidP="001F7ED9"/>
    <w:p w14:paraId="1203DDD0" w14:textId="77777777" w:rsidR="00A93E3B" w:rsidRPr="00D8618F" w:rsidRDefault="00A93E3B" w:rsidP="00A93E3B"/>
    <w:p w14:paraId="39612198" w14:textId="77777777" w:rsidR="00A23413" w:rsidRDefault="00A23413" w:rsidP="00A93E3B"/>
    <w:sectPr w:rsidR="00A23413" w:rsidSect="00A23413">
      <w:pgSz w:w="20163" w:h="12240" w:orient="landscape"/>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53D5E" w14:textId="77777777" w:rsidR="009E2AB6" w:rsidRDefault="009E2AB6">
      <w:r>
        <w:separator/>
      </w:r>
    </w:p>
  </w:endnote>
  <w:endnote w:type="continuationSeparator" w:id="0">
    <w:p w14:paraId="690A301B" w14:textId="77777777" w:rsidR="009E2AB6" w:rsidRDefault="009E2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aramond, serif">
    <w:altName w:val="Times New Roman"/>
    <w:charset w:val="00"/>
    <w:family w:val="auto"/>
    <w:pitch w:val="default"/>
  </w:font>
  <w:font w:name="Papyrus">
    <w:panose1 w:val="020B0602040200020303"/>
    <w:charset w:val="00"/>
    <w:family w:val="auto"/>
    <w:pitch w:val="variable"/>
    <w:sig w:usb0="80000063" w:usb1="00000040" w:usb2="00000000" w:usb3="00000000" w:csb0="0000006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4D1D0" w14:textId="77777777" w:rsidR="009E2AB6" w:rsidRDefault="009E2AB6">
      <w:r>
        <w:separator/>
      </w:r>
    </w:p>
  </w:footnote>
  <w:footnote w:type="continuationSeparator" w:id="0">
    <w:p w14:paraId="7BEE1F98" w14:textId="77777777" w:rsidR="009E2AB6" w:rsidRDefault="009E2A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EF0DE" w14:textId="77777777" w:rsidR="009E2AB6" w:rsidRDefault="009E2AB6" w:rsidP="00471FD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4B5011" w14:textId="77777777" w:rsidR="009E2AB6" w:rsidRDefault="009E2AB6" w:rsidP="00F32A5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125B9" w14:textId="77777777" w:rsidR="009E2AB6" w:rsidRDefault="009E2AB6" w:rsidP="00471FD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52D1">
      <w:rPr>
        <w:rStyle w:val="PageNumber"/>
        <w:noProof/>
      </w:rPr>
      <w:t>1</w:t>
    </w:r>
    <w:r>
      <w:rPr>
        <w:rStyle w:val="PageNumber"/>
      </w:rPr>
      <w:fldChar w:fldCharType="end"/>
    </w:r>
  </w:p>
  <w:p w14:paraId="2C41004D" w14:textId="2FC59ACB" w:rsidR="009E2AB6" w:rsidRDefault="009E2AB6" w:rsidP="004D1FB3">
    <w:pPr>
      <w:pStyle w:val="Header"/>
      <w:ind w:right="360"/>
      <w:jc w:val="right"/>
    </w:pPr>
    <w:r>
      <w:t>Psychology Department Assessment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28B8"/>
    <w:multiLevelType w:val="hybridMultilevel"/>
    <w:tmpl w:val="8AB6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A2EC7"/>
    <w:multiLevelType w:val="hybridMultilevel"/>
    <w:tmpl w:val="7EF0346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A6B5F10"/>
    <w:multiLevelType w:val="hybridMultilevel"/>
    <w:tmpl w:val="55B69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A05F5"/>
    <w:multiLevelType w:val="multilevel"/>
    <w:tmpl w:val="2C949DAC"/>
    <w:lvl w:ilvl="0">
      <w:start w:val="1"/>
      <w:numFmt w:val="none"/>
      <w:lvlText w:val=""/>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D482CE0"/>
    <w:multiLevelType w:val="hybridMultilevel"/>
    <w:tmpl w:val="8A905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E53718"/>
    <w:multiLevelType w:val="hybridMultilevel"/>
    <w:tmpl w:val="9934CD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2284882"/>
    <w:multiLevelType w:val="multilevel"/>
    <w:tmpl w:val="8D9616B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2B54B32"/>
    <w:multiLevelType w:val="hybridMultilevel"/>
    <w:tmpl w:val="F484303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14F0630E"/>
    <w:multiLevelType w:val="hybridMultilevel"/>
    <w:tmpl w:val="C288613A"/>
    <w:lvl w:ilvl="0" w:tplc="3E883822">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A95E23"/>
    <w:multiLevelType w:val="multilevel"/>
    <w:tmpl w:val="4F42F0B6"/>
    <w:lvl w:ilvl="0">
      <w:numFmt w:val="bullet"/>
      <w:lvlText w:val="•"/>
      <w:lvlJc w:val="left"/>
      <w:rPr>
        <w:rFonts w:ascii="OpenSymbol" w:eastAsia="OpenSymbol" w:hAnsi="OpenSymbol" w:cs="Tahoma"/>
      </w:rPr>
    </w:lvl>
    <w:lvl w:ilvl="1">
      <w:numFmt w:val="bullet"/>
      <w:lvlText w:val="◦"/>
      <w:lvlJc w:val="left"/>
      <w:rPr>
        <w:rFonts w:ascii="OpenSymbol" w:eastAsia="OpenSymbol" w:hAnsi="OpenSymbol" w:cs="Tahoma"/>
      </w:rPr>
    </w:lvl>
    <w:lvl w:ilvl="2">
      <w:numFmt w:val="bullet"/>
      <w:lvlText w:val="▪"/>
      <w:lvlJc w:val="left"/>
      <w:rPr>
        <w:rFonts w:ascii="OpenSymbol" w:eastAsia="OpenSymbol" w:hAnsi="OpenSymbol" w:cs="Tahoma"/>
      </w:rPr>
    </w:lvl>
    <w:lvl w:ilvl="3">
      <w:numFmt w:val="bullet"/>
      <w:lvlText w:val="•"/>
      <w:lvlJc w:val="left"/>
      <w:rPr>
        <w:rFonts w:ascii="OpenSymbol" w:eastAsia="OpenSymbol" w:hAnsi="OpenSymbol" w:cs="Tahoma"/>
      </w:rPr>
    </w:lvl>
    <w:lvl w:ilvl="4">
      <w:numFmt w:val="bullet"/>
      <w:lvlText w:val="◦"/>
      <w:lvlJc w:val="left"/>
      <w:rPr>
        <w:rFonts w:ascii="OpenSymbol" w:eastAsia="OpenSymbol" w:hAnsi="OpenSymbol" w:cs="Tahoma"/>
      </w:rPr>
    </w:lvl>
    <w:lvl w:ilvl="5">
      <w:numFmt w:val="bullet"/>
      <w:lvlText w:val="▪"/>
      <w:lvlJc w:val="left"/>
      <w:rPr>
        <w:rFonts w:ascii="OpenSymbol" w:eastAsia="OpenSymbol" w:hAnsi="OpenSymbol" w:cs="Tahoma"/>
      </w:rPr>
    </w:lvl>
    <w:lvl w:ilvl="6">
      <w:numFmt w:val="bullet"/>
      <w:lvlText w:val="•"/>
      <w:lvlJc w:val="left"/>
      <w:rPr>
        <w:rFonts w:ascii="OpenSymbol" w:eastAsia="OpenSymbol" w:hAnsi="OpenSymbol" w:cs="Tahoma"/>
      </w:rPr>
    </w:lvl>
    <w:lvl w:ilvl="7">
      <w:numFmt w:val="bullet"/>
      <w:lvlText w:val="◦"/>
      <w:lvlJc w:val="left"/>
      <w:rPr>
        <w:rFonts w:ascii="OpenSymbol" w:eastAsia="OpenSymbol" w:hAnsi="OpenSymbol" w:cs="Tahoma"/>
      </w:rPr>
    </w:lvl>
    <w:lvl w:ilvl="8">
      <w:numFmt w:val="bullet"/>
      <w:lvlText w:val="▪"/>
      <w:lvlJc w:val="left"/>
      <w:rPr>
        <w:rFonts w:ascii="OpenSymbol" w:eastAsia="OpenSymbol" w:hAnsi="OpenSymbol" w:cs="Tahoma"/>
      </w:rPr>
    </w:lvl>
  </w:abstractNum>
  <w:abstractNum w:abstractNumId="10">
    <w:nsid w:val="1D697566"/>
    <w:multiLevelType w:val="hybridMultilevel"/>
    <w:tmpl w:val="CE263F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5752AA5"/>
    <w:multiLevelType w:val="multilevel"/>
    <w:tmpl w:val="4A7E30F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2">
    <w:nsid w:val="2B2854BD"/>
    <w:multiLevelType w:val="hybridMultilevel"/>
    <w:tmpl w:val="239C664C"/>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01275"/>
    <w:multiLevelType w:val="hybridMultilevel"/>
    <w:tmpl w:val="9E20A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4372D8"/>
    <w:multiLevelType w:val="hybridMultilevel"/>
    <w:tmpl w:val="299E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B0A50"/>
    <w:multiLevelType w:val="hybridMultilevel"/>
    <w:tmpl w:val="7B981A4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5967AA8"/>
    <w:multiLevelType w:val="hybridMultilevel"/>
    <w:tmpl w:val="9B3850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8140346"/>
    <w:multiLevelType w:val="multilevel"/>
    <w:tmpl w:val="7D42E3C8"/>
    <w:lvl w:ilvl="0">
      <w:numFmt w:val="bullet"/>
      <w:lvlText w:val="•"/>
      <w:lvlJc w:val="left"/>
      <w:pPr>
        <w:ind w:left="707" w:hanging="283"/>
      </w:pPr>
      <w:rPr>
        <w:rFonts w:ascii="OpenSymbol" w:eastAsia="OpenSymbol" w:hAnsi="OpenSymbol" w:cs="Tahoma"/>
      </w:rPr>
    </w:lvl>
    <w:lvl w:ilvl="1">
      <w:numFmt w:val="bullet"/>
      <w:lvlText w:val="•"/>
      <w:lvlJc w:val="left"/>
      <w:pPr>
        <w:ind w:left="1414" w:hanging="283"/>
      </w:pPr>
      <w:rPr>
        <w:rFonts w:ascii="OpenSymbol" w:eastAsia="OpenSymbol" w:hAnsi="OpenSymbol" w:cs="Tahoma"/>
      </w:rPr>
    </w:lvl>
    <w:lvl w:ilvl="2">
      <w:numFmt w:val="bullet"/>
      <w:lvlText w:val="•"/>
      <w:lvlJc w:val="left"/>
      <w:pPr>
        <w:ind w:left="2121" w:hanging="283"/>
      </w:pPr>
      <w:rPr>
        <w:rFonts w:ascii="OpenSymbol" w:eastAsia="OpenSymbol" w:hAnsi="OpenSymbol" w:cs="Tahoma"/>
      </w:rPr>
    </w:lvl>
    <w:lvl w:ilvl="3">
      <w:numFmt w:val="bullet"/>
      <w:lvlText w:val="•"/>
      <w:lvlJc w:val="left"/>
      <w:pPr>
        <w:ind w:left="2828" w:hanging="283"/>
      </w:pPr>
      <w:rPr>
        <w:rFonts w:ascii="OpenSymbol" w:eastAsia="OpenSymbol" w:hAnsi="OpenSymbol" w:cs="Tahoma"/>
      </w:rPr>
    </w:lvl>
    <w:lvl w:ilvl="4">
      <w:numFmt w:val="bullet"/>
      <w:lvlText w:val="•"/>
      <w:lvlJc w:val="left"/>
      <w:pPr>
        <w:ind w:left="3535" w:hanging="283"/>
      </w:pPr>
      <w:rPr>
        <w:rFonts w:ascii="OpenSymbol" w:eastAsia="OpenSymbol" w:hAnsi="OpenSymbol" w:cs="Tahoma"/>
      </w:rPr>
    </w:lvl>
    <w:lvl w:ilvl="5">
      <w:numFmt w:val="bullet"/>
      <w:lvlText w:val="•"/>
      <w:lvlJc w:val="left"/>
      <w:pPr>
        <w:ind w:left="4242" w:hanging="283"/>
      </w:pPr>
      <w:rPr>
        <w:rFonts w:ascii="OpenSymbol" w:eastAsia="OpenSymbol" w:hAnsi="OpenSymbol" w:cs="Tahoma"/>
      </w:rPr>
    </w:lvl>
    <w:lvl w:ilvl="6">
      <w:numFmt w:val="bullet"/>
      <w:lvlText w:val="•"/>
      <w:lvlJc w:val="left"/>
      <w:pPr>
        <w:ind w:left="4949" w:hanging="283"/>
      </w:pPr>
      <w:rPr>
        <w:rFonts w:ascii="OpenSymbol" w:eastAsia="OpenSymbol" w:hAnsi="OpenSymbol" w:cs="Tahoma"/>
      </w:rPr>
    </w:lvl>
    <w:lvl w:ilvl="7">
      <w:numFmt w:val="bullet"/>
      <w:lvlText w:val="•"/>
      <w:lvlJc w:val="left"/>
      <w:pPr>
        <w:ind w:left="5656" w:hanging="283"/>
      </w:pPr>
      <w:rPr>
        <w:rFonts w:ascii="OpenSymbol" w:eastAsia="OpenSymbol" w:hAnsi="OpenSymbol" w:cs="Tahoma"/>
      </w:rPr>
    </w:lvl>
    <w:lvl w:ilvl="8">
      <w:numFmt w:val="bullet"/>
      <w:lvlText w:val="•"/>
      <w:lvlJc w:val="left"/>
      <w:pPr>
        <w:ind w:left="6363" w:hanging="283"/>
      </w:pPr>
      <w:rPr>
        <w:rFonts w:ascii="OpenSymbol" w:eastAsia="OpenSymbol" w:hAnsi="OpenSymbol" w:cs="Tahoma"/>
      </w:rPr>
    </w:lvl>
  </w:abstractNum>
  <w:abstractNum w:abstractNumId="18">
    <w:nsid w:val="3887569C"/>
    <w:multiLevelType w:val="hybridMultilevel"/>
    <w:tmpl w:val="C40ED1E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38D0504A"/>
    <w:multiLevelType w:val="hybridMultilevel"/>
    <w:tmpl w:val="ED069F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6F0678"/>
    <w:multiLevelType w:val="hybridMultilevel"/>
    <w:tmpl w:val="C48CCE9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DF34F07"/>
    <w:multiLevelType w:val="hybridMultilevel"/>
    <w:tmpl w:val="889E8E3C"/>
    <w:lvl w:ilvl="0" w:tplc="E0D85378">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4B536764"/>
    <w:multiLevelType w:val="hybridMultilevel"/>
    <w:tmpl w:val="2C949DAC"/>
    <w:lvl w:ilvl="0" w:tplc="6F964338">
      <w:start w:val="1"/>
      <w:numFmt w:val="none"/>
      <w:lvlText w:val=""/>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5EB632C"/>
    <w:multiLevelType w:val="hybridMultilevel"/>
    <w:tmpl w:val="849A9866"/>
    <w:lvl w:ilvl="0" w:tplc="0EBEEA6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467779"/>
    <w:multiLevelType w:val="hybridMultilevel"/>
    <w:tmpl w:val="4F3ABD3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BB56635"/>
    <w:multiLevelType w:val="hybridMultilevel"/>
    <w:tmpl w:val="BC02106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5BBA4201"/>
    <w:multiLevelType w:val="hybridMultilevel"/>
    <w:tmpl w:val="A618937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AD4067"/>
    <w:multiLevelType w:val="hybridMultilevel"/>
    <w:tmpl w:val="C8EEE3F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FA6FE1"/>
    <w:multiLevelType w:val="multilevel"/>
    <w:tmpl w:val="2C949DAC"/>
    <w:lvl w:ilvl="0">
      <w:start w:val="1"/>
      <w:numFmt w:val="none"/>
      <w:lvlText w:val=""/>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677374D2"/>
    <w:multiLevelType w:val="hybridMultilevel"/>
    <w:tmpl w:val="F30CB25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6BCA77DC"/>
    <w:multiLevelType w:val="hybridMultilevel"/>
    <w:tmpl w:val="137282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1533E0D"/>
    <w:multiLevelType w:val="multilevel"/>
    <w:tmpl w:val="6288848C"/>
    <w:lvl w:ilvl="0">
      <w:numFmt w:val="bullet"/>
      <w:lvlText w:val="•"/>
      <w:lvlJc w:val="left"/>
      <w:pPr>
        <w:ind w:left="707" w:hanging="283"/>
      </w:pPr>
      <w:rPr>
        <w:rFonts w:ascii="OpenSymbol" w:eastAsia="OpenSymbol" w:hAnsi="OpenSymbol" w:cs="Tahoma"/>
      </w:rPr>
    </w:lvl>
    <w:lvl w:ilvl="1">
      <w:numFmt w:val="bullet"/>
      <w:lvlText w:val="•"/>
      <w:lvlJc w:val="left"/>
      <w:pPr>
        <w:ind w:left="1414" w:hanging="283"/>
      </w:pPr>
      <w:rPr>
        <w:rFonts w:ascii="OpenSymbol" w:eastAsia="OpenSymbol" w:hAnsi="OpenSymbol" w:cs="Tahoma"/>
      </w:rPr>
    </w:lvl>
    <w:lvl w:ilvl="2">
      <w:numFmt w:val="bullet"/>
      <w:lvlText w:val="•"/>
      <w:lvlJc w:val="left"/>
      <w:pPr>
        <w:ind w:left="2121" w:hanging="283"/>
      </w:pPr>
      <w:rPr>
        <w:rFonts w:ascii="OpenSymbol" w:eastAsia="OpenSymbol" w:hAnsi="OpenSymbol" w:cs="Tahoma"/>
      </w:rPr>
    </w:lvl>
    <w:lvl w:ilvl="3">
      <w:numFmt w:val="bullet"/>
      <w:lvlText w:val="•"/>
      <w:lvlJc w:val="left"/>
      <w:pPr>
        <w:ind w:left="2828" w:hanging="283"/>
      </w:pPr>
      <w:rPr>
        <w:rFonts w:ascii="OpenSymbol" w:eastAsia="OpenSymbol" w:hAnsi="OpenSymbol" w:cs="Tahoma"/>
      </w:rPr>
    </w:lvl>
    <w:lvl w:ilvl="4">
      <w:numFmt w:val="bullet"/>
      <w:lvlText w:val="•"/>
      <w:lvlJc w:val="left"/>
      <w:pPr>
        <w:ind w:left="3535" w:hanging="283"/>
      </w:pPr>
      <w:rPr>
        <w:rFonts w:ascii="OpenSymbol" w:eastAsia="OpenSymbol" w:hAnsi="OpenSymbol" w:cs="Tahoma"/>
      </w:rPr>
    </w:lvl>
    <w:lvl w:ilvl="5">
      <w:numFmt w:val="bullet"/>
      <w:lvlText w:val="•"/>
      <w:lvlJc w:val="left"/>
      <w:pPr>
        <w:ind w:left="4242" w:hanging="283"/>
      </w:pPr>
      <w:rPr>
        <w:rFonts w:ascii="OpenSymbol" w:eastAsia="OpenSymbol" w:hAnsi="OpenSymbol" w:cs="Tahoma"/>
      </w:rPr>
    </w:lvl>
    <w:lvl w:ilvl="6">
      <w:numFmt w:val="bullet"/>
      <w:lvlText w:val="•"/>
      <w:lvlJc w:val="left"/>
      <w:pPr>
        <w:ind w:left="4949" w:hanging="283"/>
      </w:pPr>
      <w:rPr>
        <w:rFonts w:ascii="OpenSymbol" w:eastAsia="OpenSymbol" w:hAnsi="OpenSymbol" w:cs="Tahoma"/>
      </w:rPr>
    </w:lvl>
    <w:lvl w:ilvl="7">
      <w:numFmt w:val="bullet"/>
      <w:lvlText w:val="•"/>
      <w:lvlJc w:val="left"/>
      <w:pPr>
        <w:ind w:left="5656" w:hanging="283"/>
      </w:pPr>
      <w:rPr>
        <w:rFonts w:ascii="OpenSymbol" w:eastAsia="OpenSymbol" w:hAnsi="OpenSymbol" w:cs="Tahoma"/>
      </w:rPr>
    </w:lvl>
    <w:lvl w:ilvl="8">
      <w:numFmt w:val="bullet"/>
      <w:lvlText w:val="•"/>
      <w:lvlJc w:val="left"/>
      <w:pPr>
        <w:ind w:left="6363" w:hanging="283"/>
      </w:pPr>
      <w:rPr>
        <w:rFonts w:ascii="OpenSymbol" w:eastAsia="OpenSymbol" w:hAnsi="OpenSymbol" w:cs="Tahoma"/>
      </w:rPr>
    </w:lvl>
  </w:abstractNum>
  <w:abstractNum w:abstractNumId="32">
    <w:nsid w:val="73490D81"/>
    <w:multiLevelType w:val="hybridMultilevel"/>
    <w:tmpl w:val="5B5AE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4A38C6"/>
    <w:multiLevelType w:val="multilevel"/>
    <w:tmpl w:val="2C949DAC"/>
    <w:lvl w:ilvl="0">
      <w:start w:val="1"/>
      <w:numFmt w:val="none"/>
      <w:lvlText w:val=""/>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7BDC7E4B"/>
    <w:multiLevelType w:val="hybridMultilevel"/>
    <w:tmpl w:val="A71A15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6"/>
  </w:num>
  <w:num w:numId="3">
    <w:abstractNumId w:val="3"/>
  </w:num>
  <w:num w:numId="4">
    <w:abstractNumId w:val="20"/>
  </w:num>
  <w:num w:numId="5">
    <w:abstractNumId w:val="4"/>
  </w:num>
  <w:num w:numId="6">
    <w:abstractNumId w:val="0"/>
  </w:num>
  <w:num w:numId="7">
    <w:abstractNumId w:val="14"/>
  </w:num>
  <w:num w:numId="8">
    <w:abstractNumId w:val="32"/>
  </w:num>
  <w:num w:numId="9">
    <w:abstractNumId w:val="13"/>
  </w:num>
  <w:num w:numId="10">
    <w:abstractNumId w:val="28"/>
  </w:num>
  <w:num w:numId="11">
    <w:abstractNumId w:val="24"/>
  </w:num>
  <w:num w:numId="12">
    <w:abstractNumId w:val="33"/>
  </w:num>
  <w:num w:numId="13">
    <w:abstractNumId w:val="19"/>
  </w:num>
  <w:num w:numId="14">
    <w:abstractNumId w:val="25"/>
  </w:num>
  <w:num w:numId="15">
    <w:abstractNumId w:val="2"/>
  </w:num>
  <w:num w:numId="16">
    <w:abstractNumId w:val="5"/>
  </w:num>
  <w:num w:numId="17">
    <w:abstractNumId w:val="26"/>
  </w:num>
  <w:num w:numId="18">
    <w:abstractNumId w:val="31"/>
  </w:num>
  <w:num w:numId="19">
    <w:abstractNumId w:val="17"/>
  </w:num>
  <w:num w:numId="20">
    <w:abstractNumId w:val="29"/>
  </w:num>
  <w:num w:numId="21">
    <w:abstractNumId w:val="9"/>
  </w:num>
  <w:num w:numId="22">
    <w:abstractNumId w:val="23"/>
  </w:num>
  <w:num w:numId="23">
    <w:abstractNumId w:val="12"/>
  </w:num>
  <w:num w:numId="24">
    <w:abstractNumId w:val="11"/>
  </w:num>
  <w:num w:numId="25">
    <w:abstractNumId w:val="27"/>
  </w:num>
  <w:num w:numId="26">
    <w:abstractNumId w:val="10"/>
  </w:num>
  <w:num w:numId="27">
    <w:abstractNumId w:val="1"/>
  </w:num>
  <w:num w:numId="28">
    <w:abstractNumId w:val="34"/>
  </w:num>
  <w:num w:numId="29">
    <w:abstractNumId w:val="15"/>
  </w:num>
  <w:num w:numId="30">
    <w:abstractNumId w:val="30"/>
  </w:num>
  <w:num w:numId="31">
    <w:abstractNumId w:val="18"/>
  </w:num>
  <w:num w:numId="32">
    <w:abstractNumId w:val="16"/>
  </w:num>
  <w:num w:numId="33">
    <w:abstractNumId w:val="8"/>
  </w:num>
  <w:num w:numId="34">
    <w:abstractNumId w:val="21"/>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BB5"/>
    <w:rsid w:val="00055B2A"/>
    <w:rsid w:val="00056D02"/>
    <w:rsid w:val="000937D7"/>
    <w:rsid w:val="000B44E2"/>
    <w:rsid w:val="000F797C"/>
    <w:rsid w:val="00107B42"/>
    <w:rsid w:val="00123F82"/>
    <w:rsid w:val="001632FA"/>
    <w:rsid w:val="001708E8"/>
    <w:rsid w:val="001852D1"/>
    <w:rsid w:val="00194664"/>
    <w:rsid w:val="001B5BB5"/>
    <w:rsid w:val="001D1F9E"/>
    <w:rsid w:val="001F7ED9"/>
    <w:rsid w:val="00214CAB"/>
    <w:rsid w:val="00251304"/>
    <w:rsid w:val="00262F35"/>
    <w:rsid w:val="00273A14"/>
    <w:rsid w:val="002A27C4"/>
    <w:rsid w:val="002C6305"/>
    <w:rsid w:val="002F44DD"/>
    <w:rsid w:val="00300E3A"/>
    <w:rsid w:val="003026C4"/>
    <w:rsid w:val="00313245"/>
    <w:rsid w:val="003442B3"/>
    <w:rsid w:val="00371203"/>
    <w:rsid w:val="003B0C35"/>
    <w:rsid w:val="003E3523"/>
    <w:rsid w:val="003F3C70"/>
    <w:rsid w:val="003F5D4F"/>
    <w:rsid w:val="004662B0"/>
    <w:rsid w:val="00471FDD"/>
    <w:rsid w:val="00474D7D"/>
    <w:rsid w:val="004813DA"/>
    <w:rsid w:val="004872FF"/>
    <w:rsid w:val="004D1FB3"/>
    <w:rsid w:val="00546908"/>
    <w:rsid w:val="00566231"/>
    <w:rsid w:val="0058762B"/>
    <w:rsid w:val="00587D5A"/>
    <w:rsid w:val="00587E4F"/>
    <w:rsid w:val="00591DB1"/>
    <w:rsid w:val="005C1A18"/>
    <w:rsid w:val="005E0771"/>
    <w:rsid w:val="00600FF9"/>
    <w:rsid w:val="00603323"/>
    <w:rsid w:val="006643E1"/>
    <w:rsid w:val="006655A4"/>
    <w:rsid w:val="006F267F"/>
    <w:rsid w:val="00727225"/>
    <w:rsid w:val="00741947"/>
    <w:rsid w:val="0074385F"/>
    <w:rsid w:val="00776013"/>
    <w:rsid w:val="008014E0"/>
    <w:rsid w:val="0080182D"/>
    <w:rsid w:val="008348EA"/>
    <w:rsid w:val="0083756B"/>
    <w:rsid w:val="00865309"/>
    <w:rsid w:val="00875DB5"/>
    <w:rsid w:val="008A0203"/>
    <w:rsid w:val="008B67DB"/>
    <w:rsid w:val="008C12C6"/>
    <w:rsid w:val="008E37F0"/>
    <w:rsid w:val="0098723B"/>
    <w:rsid w:val="009A54B8"/>
    <w:rsid w:val="009C05F6"/>
    <w:rsid w:val="009E2AB6"/>
    <w:rsid w:val="00A12028"/>
    <w:rsid w:val="00A23413"/>
    <w:rsid w:val="00A60B91"/>
    <w:rsid w:val="00A93E3B"/>
    <w:rsid w:val="00AB7B73"/>
    <w:rsid w:val="00AC003D"/>
    <w:rsid w:val="00B022FC"/>
    <w:rsid w:val="00B7330C"/>
    <w:rsid w:val="00BA5A5C"/>
    <w:rsid w:val="00BB4B71"/>
    <w:rsid w:val="00BE2012"/>
    <w:rsid w:val="00C016CC"/>
    <w:rsid w:val="00C22C34"/>
    <w:rsid w:val="00C243CB"/>
    <w:rsid w:val="00C25228"/>
    <w:rsid w:val="00C4381D"/>
    <w:rsid w:val="00C5194B"/>
    <w:rsid w:val="00C51AF9"/>
    <w:rsid w:val="00C71E47"/>
    <w:rsid w:val="00CA6068"/>
    <w:rsid w:val="00CB2BED"/>
    <w:rsid w:val="00CF1EA8"/>
    <w:rsid w:val="00D047FD"/>
    <w:rsid w:val="00D06C1E"/>
    <w:rsid w:val="00D41F83"/>
    <w:rsid w:val="00D52D1A"/>
    <w:rsid w:val="00D86C25"/>
    <w:rsid w:val="00D93ED1"/>
    <w:rsid w:val="00D97EC1"/>
    <w:rsid w:val="00DE3EAC"/>
    <w:rsid w:val="00DF3993"/>
    <w:rsid w:val="00E12BB6"/>
    <w:rsid w:val="00E67737"/>
    <w:rsid w:val="00EF759D"/>
    <w:rsid w:val="00F1037E"/>
    <w:rsid w:val="00F161CD"/>
    <w:rsid w:val="00F32A52"/>
    <w:rsid w:val="00F712D1"/>
    <w:rsid w:val="00FA4165"/>
    <w:rsid w:val="00FD3063"/>
    <w:rsid w:val="00FE69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61F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address" w:uiPriority="0"/>
    <w:lsdException w:name="envelope return"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BB5"/>
    <w:rPr>
      <w:rFonts w:ascii="Times New Roman" w:eastAsia="Times New Roman" w:hAnsi="Times New Roman" w:cs="Times New Roman"/>
      <w:sz w:val="23"/>
      <w:szCs w:val="24"/>
    </w:rPr>
  </w:style>
  <w:style w:type="paragraph" w:styleId="Heading1">
    <w:name w:val="heading 1"/>
    <w:basedOn w:val="Normal"/>
    <w:next w:val="Normal"/>
    <w:link w:val="Heading1Char"/>
    <w:qFormat/>
    <w:rsid w:val="001B5BB5"/>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5BB5"/>
    <w:rPr>
      <w:rFonts w:ascii="Times New Roman" w:eastAsia="Times New Roman" w:hAnsi="Times New Roman" w:cs="Times New Roman"/>
      <w:sz w:val="23"/>
      <w:szCs w:val="24"/>
      <w:u w:val="single"/>
    </w:rPr>
  </w:style>
  <w:style w:type="paragraph" w:styleId="EnvelopeReturn">
    <w:name w:val="envelope return"/>
    <w:basedOn w:val="Normal"/>
    <w:rsid w:val="001B5BB5"/>
    <w:rPr>
      <w:rFonts w:ascii="Arial" w:hAnsi="Arial" w:cs="Arial"/>
      <w:b/>
      <w:sz w:val="20"/>
      <w:szCs w:val="20"/>
    </w:rPr>
  </w:style>
  <w:style w:type="paragraph" w:styleId="EnvelopeAddress">
    <w:name w:val="envelope address"/>
    <w:basedOn w:val="Normal"/>
    <w:rsid w:val="001B5BB5"/>
    <w:pPr>
      <w:framePr w:w="7920" w:h="1980" w:hRule="exact" w:hSpace="180" w:wrap="auto" w:hAnchor="page" w:xAlign="center" w:yAlign="bottom"/>
      <w:ind w:left="2880"/>
    </w:pPr>
    <w:rPr>
      <w:rFonts w:ascii="Arial" w:hAnsi="Arial" w:cs="Arial"/>
      <w:b/>
      <w:sz w:val="20"/>
    </w:rPr>
  </w:style>
  <w:style w:type="paragraph" w:styleId="Title">
    <w:name w:val="Title"/>
    <w:basedOn w:val="Normal"/>
    <w:link w:val="TitleChar"/>
    <w:qFormat/>
    <w:rsid w:val="001B5BB5"/>
    <w:pPr>
      <w:jc w:val="center"/>
    </w:pPr>
    <w:rPr>
      <w:b/>
      <w:bCs/>
    </w:rPr>
  </w:style>
  <w:style w:type="character" w:customStyle="1" w:styleId="TitleChar">
    <w:name w:val="Title Char"/>
    <w:basedOn w:val="DefaultParagraphFont"/>
    <w:link w:val="Title"/>
    <w:rsid w:val="001B5BB5"/>
    <w:rPr>
      <w:rFonts w:ascii="Times New Roman" w:eastAsia="Times New Roman" w:hAnsi="Times New Roman" w:cs="Times New Roman"/>
      <w:b/>
      <w:bCs/>
      <w:sz w:val="23"/>
      <w:szCs w:val="24"/>
    </w:rPr>
  </w:style>
  <w:style w:type="paragraph" w:styleId="Header">
    <w:name w:val="header"/>
    <w:basedOn w:val="Normal"/>
    <w:link w:val="HeaderChar"/>
    <w:uiPriority w:val="99"/>
    <w:rsid w:val="001B5BB5"/>
    <w:pPr>
      <w:tabs>
        <w:tab w:val="center" w:pos="4320"/>
        <w:tab w:val="right" w:pos="8640"/>
      </w:tabs>
    </w:pPr>
  </w:style>
  <w:style w:type="character" w:customStyle="1" w:styleId="HeaderChar">
    <w:name w:val="Header Char"/>
    <w:basedOn w:val="DefaultParagraphFont"/>
    <w:link w:val="Header"/>
    <w:uiPriority w:val="99"/>
    <w:rsid w:val="001B5BB5"/>
    <w:rPr>
      <w:rFonts w:ascii="Times New Roman" w:eastAsia="Times New Roman" w:hAnsi="Times New Roman" w:cs="Times New Roman"/>
      <w:sz w:val="23"/>
      <w:szCs w:val="24"/>
    </w:rPr>
  </w:style>
  <w:style w:type="paragraph" w:styleId="Footer">
    <w:name w:val="footer"/>
    <w:basedOn w:val="Normal"/>
    <w:link w:val="FooterChar"/>
    <w:uiPriority w:val="99"/>
    <w:rsid w:val="001B5BB5"/>
    <w:pPr>
      <w:tabs>
        <w:tab w:val="center" w:pos="4320"/>
        <w:tab w:val="right" w:pos="8640"/>
      </w:tabs>
    </w:pPr>
  </w:style>
  <w:style w:type="character" w:customStyle="1" w:styleId="FooterChar">
    <w:name w:val="Footer Char"/>
    <w:basedOn w:val="DefaultParagraphFont"/>
    <w:link w:val="Footer"/>
    <w:uiPriority w:val="99"/>
    <w:rsid w:val="001B5BB5"/>
    <w:rPr>
      <w:rFonts w:ascii="Times New Roman" w:eastAsia="Times New Roman" w:hAnsi="Times New Roman" w:cs="Times New Roman"/>
      <w:sz w:val="23"/>
      <w:szCs w:val="24"/>
    </w:rPr>
  </w:style>
  <w:style w:type="character" w:styleId="PageNumber">
    <w:name w:val="page number"/>
    <w:basedOn w:val="DefaultParagraphFont"/>
    <w:uiPriority w:val="99"/>
    <w:rsid w:val="001B5BB5"/>
  </w:style>
  <w:style w:type="paragraph" w:styleId="NormalWeb">
    <w:name w:val="Normal (Web)"/>
    <w:basedOn w:val="Normal"/>
    <w:rsid w:val="001B5BB5"/>
    <w:pPr>
      <w:spacing w:before="100" w:beforeAutospacing="1" w:after="100" w:afterAutospacing="1"/>
    </w:pPr>
    <w:rPr>
      <w:rFonts w:ascii="Arial Unicode MS" w:eastAsia="Arial Unicode MS" w:hAnsi="Arial Unicode MS" w:cs="Arial Unicode MS"/>
      <w:color w:val="000000"/>
      <w:sz w:val="24"/>
    </w:rPr>
  </w:style>
  <w:style w:type="paragraph" w:styleId="BalloonText">
    <w:name w:val="Balloon Text"/>
    <w:basedOn w:val="Normal"/>
    <w:link w:val="BalloonTextChar"/>
    <w:semiHidden/>
    <w:rsid w:val="001B5BB5"/>
    <w:rPr>
      <w:rFonts w:ascii="Tahoma" w:hAnsi="Tahoma" w:cs="Tahoma"/>
      <w:sz w:val="16"/>
      <w:szCs w:val="16"/>
    </w:rPr>
  </w:style>
  <w:style w:type="character" w:customStyle="1" w:styleId="BalloonTextChar">
    <w:name w:val="Balloon Text Char"/>
    <w:basedOn w:val="DefaultParagraphFont"/>
    <w:link w:val="BalloonText"/>
    <w:semiHidden/>
    <w:rsid w:val="001B5BB5"/>
    <w:rPr>
      <w:rFonts w:ascii="Tahoma" w:eastAsia="Times New Roman" w:hAnsi="Tahoma" w:cs="Tahoma"/>
      <w:sz w:val="16"/>
      <w:szCs w:val="16"/>
    </w:rPr>
  </w:style>
  <w:style w:type="paragraph" w:styleId="ListParagraph">
    <w:name w:val="List Paragraph"/>
    <w:basedOn w:val="Normal"/>
    <w:uiPriority w:val="34"/>
    <w:qFormat/>
    <w:rsid w:val="001B5BB5"/>
    <w:pPr>
      <w:ind w:left="720"/>
      <w:contextualSpacing/>
    </w:pPr>
  </w:style>
  <w:style w:type="paragraph" w:customStyle="1" w:styleId="Standard">
    <w:name w:val="Standard"/>
    <w:rsid w:val="001B5BB5"/>
    <w:pPr>
      <w:suppressAutoHyphens/>
      <w:autoSpaceDN w:val="0"/>
      <w:textAlignment w:val="baseline"/>
    </w:pPr>
    <w:rPr>
      <w:rFonts w:ascii="Times New Roman" w:eastAsia="Times New Roman" w:hAnsi="Times New Roman" w:cs="Times New Roman"/>
      <w:kern w:val="3"/>
      <w:sz w:val="24"/>
      <w:szCs w:val="24"/>
      <w:lang w:val="ru-RU"/>
    </w:rPr>
  </w:style>
  <w:style w:type="table" w:styleId="TableGrid">
    <w:name w:val="Table Grid"/>
    <w:basedOn w:val="TableNormal"/>
    <w:uiPriority w:val="59"/>
    <w:rsid w:val="001B5B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body">
    <w:name w:val="Text body"/>
    <w:basedOn w:val="Standard"/>
    <w:rsid w:val="001B5BB5"/>
    <w:pPr>
      <w:spacing w:after="1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address" w:uiPriority="0"/>
    <w:lsdException w:name="envelope return"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BB5"/>
    <w:rPr>
      <w:rFonts w:ascii="Times New Roman" w:eastAsia="Times New Roman" w:hAnsi="Times New Roman" w:cs="Times New Roman"/>
      <w:sz w:val="23"/>
      <w:szCs w:val="24"/>
    </w:rPr>
  </w:style>
  <w:style w:type="paragraph" w:styleId="Heading1">
    <w:name w:val="heading 1"/>
    <w:basedOn w:val="Normal"/>
    <w:next w:val="Normal"/>
    <w:link w:val="Heading1Char"/>
    <w:qFormat/>
    <w:rsid w:val="001B5BB5"/>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5BB5"/>
    <w:rPr>
      <w:rFonts w:ascii="Times New Roman" w:eastAsia="Times New Roman" w:hAnsi="Times New Roman" w:cs="Times New Roman"/>
      <w:sz w:val="23"/>
      <w:szCs w:val="24"/>
      <w:u w:val="single"/>
    </w:rPr>
  </w:style>
  <w:style w:type="paragraph" w:styleId="EnvelopeReturn">
    <w:name w:val="envelope return"/>
    <w:basedOn w:val="Normal"/>
    <w:rsid w:val="001B5BB5"/>
    <w:rPr>
      <w:rFonts w:ascii="Arial" w:hAnsi="Arial" w:cs="Arial"/>
      <w:b/>
      <w:sz w:val="20"/>
      <w:szCs w:val="20"/>
    </w:rPr>
  </w:style>
  <w:style w:type="paragraph" w:styleId="EnvelopeAddress">
    <w:name w:val="envelope address"/>
    <w:basedOn w:val="Normal"/>
    <w:rsid w:val="001B5BB5"/>
    <w:pPr>
      <w:framePr w:w="7920" w:h="1980" w:hRule="exact" w:hSpace="180" w:wrap="auto" w:hAnchor="page" w:xAlign="center" w:yAlign="bottom"/>
      <w:ind w:left="2880"/>
    </w:pPr>
    <w:rPr>
      <w:rFonts w:ascii="Arial" w:hAnsi="Arial" w:cs="Arial"/>
      <w:b/>
      <w:sz w:val="20"/>
    </w:rPr>
  </w:style>
  <w:style w:type="paragraph" w:styleId="Title">
    <w:name w:val="Title"/>
    <w:basedOn w:val="Normal"/>
    <w:link w:val="TitleChar"/>
    <w:qFormat/>
    <w:rsid w:val="001B5BB5"/>
    <w:pPr>
      <w:jc w:val="center"/>
    </w:pPr>
    <w:rPr>
      <w:b/>
      <w:bCs/>
    </w:rPr>
  </w:style>
  <w:style w:type="character" w:customStyle="1" w:styleId="TitleChar">
    <w:name w:val="Title Char"/>
    <w:basedOn w:val="DefaultParagraphFont"/>
    <w:link w:val="Title"/>
    <w:rsid w:val="001B5BB5"/>
    <w:rPr>
      <w:rFonts w:ascii="Times New Roman" w:eastAsia="Times New Roman" w:hAnsi="Times New Roman" w:cs="Times New Roman"/>
      <w:b/>
      <w:bCs/>
      <w:sz w:val="23"/>
      <w:szCs w:val="24"/>
    </w:rPr>
  </w:style>
  <w:style w:type="paragraph" w:styleId="Header">
    <w:name w:val="header"/>
    <w:basedOn w:val="Normal"/>
    <w:link w:val="HeaderChar"/>
    <w:uiPriority w:val="99"/>
    <w:rsid w:val="001B5BB5"/>
    <w:pPr>
      <w:tabs>
        <w:tab w:val="center" w:pos="4320"/>
        <w:tab w:val="right" w:pos="8640"/>
      </w:tabs>
    </w:pPr>
  </w:style>
  <w:style w:type="character" w:customStyle="1" w:styleId="HeaderChar">
    <w:name w:val="Header Char"/>
    <w:basedOn w:val="DefaultParagraphFont"/>
    <w:link w:val="Header"/>
    <w:uiPriority w:val="99"/>
    <w:rsid w:val="001B5BB5"/>
    <w:rPr>
      <w:rFonts w:ascii="Times New Roman" w:eastAsia="Times New Roman" w:hAnsi="Times New Roman" w:cs="Times New Roman"/>
      <w:sz w:val="23"/>
      <w:szCs w:val="24"/>
    </w:rPr>
  </w:style>
  <w:style w:type="paragraph" w:styleId="Footer">
    <w:name w:val="footer"/>
    <w:basedOn w:val="Normal"/>
    <w:link w:val="FooterChar"/>
    <w:uiPriority w:val="99"/>
    <w:rsid w:val="001B5BB5"/>
    <w:pPr>
      <w:tabs>
        <w:tab w:val="center" w:pos="4320"/>
        <w:tab w:val="right" w:pos="8640"/>
      </w:tabs>
    </w:pPr>
  </w:style>
  <w:style w:type="character" w:customStyle="1" w:styleId="FooterChar">
    <w:name w:val="Footer Char"/>
    <w:basedOn w:val="DefaultParagraphFont"/>
    <w:link w:val="Footer"/>
    <w:uiPriority w:val="99"/>
    <w:rsid w:val="001B5BB5"/>
    <w:rPr>
      <w:rFonts w:ascii="Times New Roman" w:eastAsia="Times New Roman" w:hAnsi="Times New Roman" w:cs="Times New Roman"/>
      <w:sz w:val="23"/>
      <w:szCs w:val="24"/>
    </w:rPr>
  </w:style>
  <w:style w:type="character" w:styleId="PageNumber">
    <w:name w:val="page number"/>
    <w:basedOn w:val="DefaultParagraphFont"/>
    <w:uiPriority w:val="99"/>
    <w:rsid w:val="001B5BB5"/>
  </w:style>
  <w:style w:type="paragraph" w:styleId="NormalWeb">
    <w:name w:val="Normal (Web)"/>
    <w:basedOn w:val="Normal"/>
    <w:rsid w:val="001B5BB5"/>
    <w:pPr>
      <w:spacing w:before="100" w:beforeAutospacing="1" w:after="100" w:afterAutospacing="1"/>
    </w:pPr>
    <w:rPr>
      <w:rFonts w:ascii="Arial Unicode MS" w:eastAsia="Arial Unicode MS" w:hAnsi="Arial Unicode MS" w:cs="Arial Unicode MS"/>
      <w:color w:val="000000"/>
      <w:sz w:val="24"/>
    </w:rPr>
  </w:style>
  <w:style w:type="paragraph" w:styleId="BalloonText">
    <w:name w:val="Balloon Text"/>
    <w:basedOn w:val="Normal"/>
    <w:link w:val="BalloonTextChar"/>
    <w:semiHidden/>
    <w:rsid w:val="001B5BB5"/>
    <w:rPr>
      <w:rFonts w:ascii="Tahoma" w:hAnsi="Tahoma" w:cs="Tahoma"/>
      <w:sz w:val="16"/>
      <w:szCs w:val="16"/>
    </w:rPr>
  </w:style>
  <w:style w:type="character" w:customStyle="1" w:styleId="BalloonTextChar">
    <w:name w:val="Balloon Text Char"/>
    <w:basedOn w:val="DefaultParagraphFont"/>
    <w:link w:val="BalloonText"/>
    <w:semiHidden/>
    <w:rsid w:val="001B5BB5"/>
    <w:rPr>
      <w:rFonts w:ascii="Tahoma" w:eastAsia="Times New Roman" w:hAnsi="Tahoma" w:cs="Tahoma"/>
      <w:sz w:val="16"/>
      <w:szCs w:val="16"/>
    </w:rPr>
  </w:style>
  <w:style w:type="paragraph" w:styleId="ListParagraph">
    <w:name w:val="List Paragraph"/>
    <w:basedOn w:val="Normal"/>
    <w:uiPriority w:val="34"/>
    <w:qFormat/>
    <w:rsid w:val="001B5BB5"/>
    <w:pPr>
      <w:ind w:left="720"/>
      <w:contextualSpacing/>
    </w:pPr>
  </w:style>
  <w:style w:type="paragraph" w:customStyle="1" w:styleId="Standard">
    <w:name w:val="Standard"/>
    <w:rsid w:val="001B5BB5"/>
    <w:pPr>
      <w:suppressAutoHyphens/>
      <w:autoSpaceDN w:val="0"/>
      <w:textAlignment w:val="baseline"/>
    </w:pPr>
    <w:rPr>
      <w:rFonts w:ascii="Times New Roman" w:eastAsia="Times New Roman" w:hAnsi="Times New Roman" w:cs="Times New Roman"/>
      <w:kern w:val="3"/>
      <w:sz w:val="24"/>
      <w:szCs w:val="24"/>
      <w:lang w:val="ru-RU"/>
    </w:rPr>
  </w:style>
  <w:style w:type="table" w:styleId="TableGrid">
    <w:name w:val="Table Grid"/>
    <w:basedOn w:val="TableNormal"/>
    <w:uiPriority w:val="59"/>
    <w:rsid w:val="001B5B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body">
    <w:name w:val="Text body"/>
    <w:basedOn w:val="Standard"/>
    <w:rsid w:val="001B5BB5"/>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image" Target="media/image18.emf"/><Relationship Id="rId28" Type="http://schemas.openxmlformats.org/officeDocument/2006/relationships/image" Target="media/image19.emf"/><Relationship Id="rId29" Type="http://schemas.openxmlformats.org/officeDocument/2006/relationships/image" Target="media/image20.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chart" Target="charts/chart1.xml"/><Relationship Id="rId31" Type="http://schemas.openxmlformats.org/officeDocument/2006/relationships/chart" Target="charts/chart2.xml"/><Relationship Id="rId32" Type="http://schemas.openxmlformats.org/officeDocument/2006/relationships/image" Target="media/image21.png"/><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2.wmf"/><Relationship Id="rId12" Type="http://schemas.openxmlformats.org/officeDocument/2006/relationships/image" Target="media/image3.w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00178040243905405"/>
          <c:y val="0.0217981575832433"/>
        </c:manualLayout>
      </c:layout>
      <c:overlay val="0"/>
    </c:title>
    <c:autoTitleDeleted val="0"/>
    <c:plotArea>
      <c:layout>
        <c:manualLayout>
          <c:layoutTarget val="inner"/>
          <c:xMode val="edge"/>
          <c:yMode val="edge"/>
          <c:x val="0.370375005555466"/>
          <c:y val="0.089203163330074"/>
          <c:w val="0.746759530875634"/>
          <c:h val="0.78776845472441"/>
        </c:manualLayout>
      </c:layout>
      <c:pieChart>
        <c:varyColors val="1"/>
        <c:ser>
          <c:idx val="0"/>
          <c:order val="0"/>
          <c:tx>
            <c:strRef>
              <c:f>Sheet1!$B$1</c:f>
              <c:strCache>
                <c:ptCount val="1"/>
                <c:pt idx="0">
                  <c:v>     </c:v>
                </c:pt>
              </c:strCache>
            </c:strRef>
          </c:tx>
          <c:cat>
            <c:strRef>
              <c:f>Sheet1!$A$2:$A$5</c:f>
              <c:strCache>
                <c:ptCount val="4"/>
                <c:pt idx="0">
                  <c:v>Graduated in 2 years</c:v>
                </c:pt>
                <c:pt idx="1">
                  <c:v>Graduated within 2.5 years</c:v>
                </c:pt>
                <c:pt idx="2">
                  <c:v>Left for PhD program</c:v>
                </c:pt>
                <c:pt idx="3">
                  <c:v>Left for other reason</c:v>
                </c:pt>
              </c:strCache>
            </c:strRef>
          </c:cat>
          <c:val>
            <c:numRef>
              <c:f>Sheet1!$B$2:$B$5</c:f>
              <c:numCache>
                <c:formatCode>General</c:formatCode>
                <c:ptCount val="4"/>
                <c:pt idx="0">
                  <c:v>40.0</c:v>
                </c:pt>
                <c:pt idx="1">
                  <c:v>3.0</c:v>
                </c:pt>
                <c:pt idx="2">
                  <c:v>2.0</c:v>
                </c:pt>
                <c:pt idx="3">
                  <c:v>3.0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0221090958620237"/>
          <c:y val="0.0434275127373784"/>
          <c:w val="0.427325984251969"/>
          <c:h val="0.307738099728619"/>
        </c:manualLayout>
      </c:layout>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00178040243905405"/>
          <c:y val="0.0217981575832433"/>
        </c:manualLayout>
      </c:layout>
      <c:overlay val="0"/>
    </c:title>
    <c:autoTitleDeleted val="0"/>
    <c:plotArea>
      <c:layout>
        <c:manualLayout>
          <c:layoutTarget val="inner"/>
          <c:xMode val="edge"/>
          <c:yMode val="edge"/>
          <c:x val="0.370375005555466"/>
          <c:y val="0.089203163330074"/>
          <c:w val="0.746759530875634"/>
          <c:h val="0.78776845472441"/>
        </c:manualLayout>
      </c:layout>
      <c:pieChart>
        <c:varyColors val="1"/>
        <c:ser>
          <c:idx val="0"/>
          <c:order val="0"/>
          <c:tx>
            <c:strRef>
              <c:f>Sheet1!$B$1</c:f>
              <c:strCache>
                <c:ptCount val="1"/>
                <c:pt idx="0">
                  <c:v>     </c:v>
                </c:pt>
              </c:strCache>
            </c:strRef>
          </c:tx>
          <c:cat>
            <c:strRef>
              <c:f>Sheet1!$A$2:$A$5</c:f>
              <c:strCache>
                <c:ptCount val="4"/>
                <c:pt idx="0">
                  <c:v>PhD student</c:v>
                </c:pt>
                <c:pt idx="1">
                  <c:v>Business, Medical, Administration</c:v>
                </c:pt>
                <c:pt idx="2">
                  <c:v>Other</c:v>
                </c:pt>
                <c:pt idx="3">
                  <c:v>Unknown</c:v>
                </c:pt>
              </c:strCache>
            </c:strRef>
          </c:cat>
          <c:val>
            <c:numRef>
              <c:f>Sheet1!$B$2:$B$5</c:f>
              <c:numCache>
                <c:formatCode>General</c:formatCode>
                <c:ptCount val="4"/>
                <c:pt idx="0">
                  <c:v>21.0</c:v>
                </c:pt>
                <c:pt idx="1">
                  <c:v>6.0</c:v>
                </c:pt>
                <c:pt idx="2">
                  <c:v>4.0</c:v>
                </c:pt>
                <c:pt idx="3">
                  <c:v>7.0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0221090958620237"/>
          <c:y val="0.0434275127373784"/>
          <c:w val="0.427325984251969"/>
          <c:h val="0.307738099728619"/>
        </c:manualLayout>
      </c:layout>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30</Pages>
  <Words>8373</Words>
  <Characters>47728</Characters>
  <Application>Microsoft Macintosh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Manager/>
  <Company>Northwoods Excursions</Company>
  <LinksUpToDate>false</LinksUpToDate>
  <CharactersWithSpaces>55990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cfm</dc:creator>
  <cp:keywords/>
  <dc:description/>
  <cp:lastModifiedBy>Colleen  Moore</cp:lastModifiedBy>
  <cp:revision>60</cp:revision>
  <cp:lastPrinted>2014-05-11T22:11:00Z</cp:lastPrinted>
  <dcterms:created xsi:type="dcterms:W3CDTF">2014-05-11T15:45:00Z</dcterms:created>
  <dcterms:modified xsi:type="dcterms:W3CDTF">2014-05-11T22:12:00Z</dcterms:modified>
  <cp:category/>
</cp:coreProperties>
</file>